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55" w:rsidRDefault="002E2A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E2A55" w:rsidRDefault="001D4ACE" w:rsidP="00132B43">
      <w:pPr>
        <w:ind w:left="2689"/>
        <w:rPr>
          <w:rFonts w:ascii="Arial" w:eastAsia="Arial" w:hAnsi="Arial" w:cs="Arial"/>
          <w:sz w:val="26"/>
          <w:szCs w:val="2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6"/>
          <w:szCs w:val="26"/>
        </w:rPr>
        <w:t>COMUNICACIÓN ORAL Y ESCRITA I</w:t>
      </w:r>
    </w:p>
    <w:p w:rsidR="00132B43" w:rsidRDefault="00132B43">
      <w:pPr>
        <w:widowControl w:val="0"/>
        <w:ind w:firstLine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3614A" wp14:editId="6A983FB4">
                <wp:simplePos x="0" y="0"/>
                <wp:positionH relativeFrom="column">
                  <wp:posOffset>34290</wp:posOffset>
                </wp:positionH>
                <wp:positionV relativeFrom="paragraph">
                  <wp:posOffset>97790</wp:posOffset>
                </wp:positionV>
                <wp:extent cx="54864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7.7pt" to="434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" strokecolor="#969696" strokeweight="1.5pt"/>
            </w:pict>
          </mc:Fallback>
        </mc:AlternateContent>
      </w:r>
    </w:p>
    <w:p w:rsidR="002E2A55" w:rsidRDefault="001D4ACE">
      <w:pPr>
        <w:widowControl w:val="0"/>
        <w:ind w:firstLine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2E2A55" w:rsidRDefault="001D4ACE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7° </w:t>
      </w:r>
    </w:p>
    <w:p w:rsidR="002E2A55" w:rsidRDefault="001D4ACE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2E2A55" w:rsidRDefault="001D4ACE" w:rsidP="00875D25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OBJETIVOS </w:t>
      </w:r>
      <w:r w:rsidR="00875D25">
        <w:rPr>
          <w:rFonts w:ascii="Arial" w:eastAsia="Arial" w:hAnsi="Arial" w:cs="Arial"/>
          <w:b/>
          <w:sz w:val="26"/>
          <w:szCs w:val="26"/>
        </w:rPr>
        <w:t>GENERALES</w:t>
      </w:r>
    </w:p>
    <w:p w:rsidR="002E2A55" w:rsidRDefault="001D4ACE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00DFF67" wp14:editId="540BCA77">
                <wp:simplePos x="0" y="0"/>
                <wp:positionH relativeFrom="column">
                  <wp:posOffset>215265</wp:posOffset>
                </wp:positionH>
                <wp:positionV relativeFrom="paragraph">
                  <wp:posOffset>76834</wp:posOffset>
                </wp:positionV>
                <wp:extent cx="5314950" cy="771525"/>
                <wp:effectExtent l="0" t="0" r="1905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E2A55" w:rsidRPr="00132B43" w:rsidRDefault="001D4ACE" w:rsidP="00132B4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32B4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Acceder a recursos que contribuyan con el mejoramiento de procesos de comprensión lectora.</w:t>
                            </w:r>
                          </w:p>
                          <w:p w:rsidR="002E2A55" w:rsidRPr="00132B43" w:rsidRDefault="001D4ACE" w:rsidP="00132B4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32B4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132B4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dquirir competencias de redacción y comunicación de contenidos de elaboración propia en distintos registros.</w:t>
                            </w:r>
                          </w:p>
                          <w:p w:rsidR="002E2A55" w:rsidRPr="00132B43" w:rsidRDefault="002E2A55" w:rsidP="00132B43">
                            <w:pPr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left:0;text-align:left;margin-left:16.95pt;margin-top:6.05pt;width:418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2E2A55" w:rsidRPr="00132B43" w:rsidRDefault="001D4ACE" w:rsidP="00132B4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32B4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Acceder a recursos que contribuyan con el mejoramiento de procesos de comprensión lectora.</w:t>
                      </w:r>
                    </w:p>
                    <w:p w:rsidR="002E2A55" w:rsidRPr="00132B43" w:rsidRDefault="001D4ACE" w:rsidP="00132B4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32B4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</w:t>
                      </w:r>
                      <w:r w:rsidRPr="00132B4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dquirir competencias de redacción y comunicación de contenidos de elaboración propia en distintos registros.</w:t>
                      </w:r>
                    </w:p>
                    <w:p w:rsidR="002E2A55" w:rsidRPr="00132B43" w:rsidRDefault="002E2A55" w:rsidP="00132B43">
                      <w:pPr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2A55" w:rsidRDefault="002E2A55">
      <w:pPr>
        <w:ind w:left="360" w:firstLine="180"/>
        <w:rPr>
          <w:rFonts w:ascii="Arial" w:eastAsia="Arial" w:hAnsi="Arial" w:cs="Arial"/>
        </w:rPr>
      </w:pPr>
    </w:p>
    <w:p w:rsidR="00132B43" w:rsidRDefault="00132B43">
      <w:pPr>
        <w:ind w:left="360" w:firstLine="180"/>
        <w:rPr>
          <w:rFonts w:ascii="Arial" w:eastAsia="Arial" w:hAnsi="Arial" w:cs="Arial"/>
        </w:rPr>
      </w:pPr>
    </w:p>
    <w:p w:rsidR="00132B43" w:rsidRDefault="00132B43">
      <w:pPr>
        <w:ind w:left="360" w:firstLine="180"/>
        <w:rPr>
          <w:rFonts w:ascii="Arial" w:eastAsia="Arial" w:hAnsi="Arial" w:cs="Arial"/>
        </w:rPr>
      </w:pPr>
    </w:p>
    <w:p w:rsidR="00132B43" w:rsidRDefault="00132B43">
      <w:pPr>
        <w:ind w:left="360" w:firstLine="180"/>
        <w:rPr>
          <w:rFonts w:ascii="Arial" w:eastAsia="Arial" w:hAnsi="Arial" w:cs="Arial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Pr="00875D2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18"/>
          <w:szCs w:val="26"/>
        </w:rPr>
      </w:pPr>
    </w:p>
    <w:p w:rsidR="002E2A55" w:rsidRDefault="001D4ACE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2E2A55" w:rsidRDefault="001D4ACE">
      <w:pPr>
        <w:ind w:left="360" w:firstLine="18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62865</wp:posOffset>
                </wp:positionV>
                <wp:extent cx="5305425" cy="604837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604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E2A55" w:rsidRPr="00875D25" w:rsidRDefault="001D4ACE" w:rsidP="00875D2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5D25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I: Cómo leer y por qué</w:t>
                            </w:r>
                          </w:p>
                          <w:p w:rsidR="002E2A55" w:rsidRPr="00875D25" w:rsidRDefault="001D4ACE" w:rsidP="00875D2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5D2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1. Cómo leer y por qué; 1.1. Comprensión lectora; 1.2. Formulación de temas o ideas centrales e ideas principales; 1.3. Juicios valorativos con base en datos; 2. Seminario socrático I: Cómo leer y por qué; 3. El reporte de lectura y el informe; 4. Lectura </w:t>
                            </w:r>
                            <w:r w:rsidRPr="00875D2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activa: subrayado y apuntes.</w:t>
                            </w:r>
                          </w:p>
                          <w:p w:rsidR="002E2A55" w:rsidRPr="00875D25" w:rsidRDefault="001D4ACE" w:rsidP="00875D25">
                            <w:pPr>
                              <w:spacing w:before="240"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5D25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II: La máquina de escribir</w:t>
                            </w:r>
                          </w:p>
                          <w:p w:rsidR="002E2A55" w:rsidRPr="00875D25" w:rsidRDefault="001D4ACE" w:rsidP="00875D2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5D2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1. Contar en sí: Taller de aproximaciones creativas a la escritura; 2. El espejo de la escritura: Taller de escritura creativa a partir de géneros discursivos teóricos y críticos; 3. Taller de</w:t>
                            </w:r>
                            <w:r w:rsidRPr="00875D2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glosario: Elaboración, comprensión e implementación de conceptos y léxico especializado. 4. Seminario socrático II: Club de lectura</w:t>
                            </w:r>
                          </w:p>
                          <w:p w:rsidR="002E2A55" w:rsidRPr="00875D25" w:rsidRDefault="001D4ACE" w:rsidP="00875D25">
                            <w:pPr>
                              <w:spacing w:before="240"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5D25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III: Gramática de la escritura I</w:t>
                            </w:r>
                          </w:p>
                          <w:p w:rsidR="002E2A55" w:rsidRPr="00875D25" w:rsidRDefault="001D4ACE" w:rsidP="00875D2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5D2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1. Categorías léxicas; 2. Análisis sintáctico, morfológico y semántico de oracione</w:t>
                            </w:r>
                            <w:r w:rsidRPr="00875D2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s; 3. Tiempos verbales; 4. Verbos transitivos e intransitivos; 5. Concordancias de género y número; 6. Preposiciones; 7. Signos de puntuación. 8. Análisis del discurso</w:t>
                            </w:r>
                          </w:p>
                          <w:p w:rsidR="002E2A55" w:rsidRPr="00875D25" w:rsidRDefault="001D4ACE" w:rsidP="00875D25">
                            <w:pPr>
                              <w:spacing w:before="240"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5D25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III: Gramática de la escritura II</w:t>
                            </w:r>
                          </w:p>
                          <w:p w:rsidR="002E2A55" w:rsidRPr="00875D25" w:rsidRDefault="001D4ACE" w:rsidP="00875D2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5D2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1. Modelo argumentativo de </w:t>
                            </w:r>
                            <w:proofErr w:type="spellStart"/>
                            <w:r w:rsidRPr="00875D2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Toulmin</w:t>
                            </w:r>
                            <w:proofErr w:type="spellEnd"/>
                            <w:r w:rsidRPr="00875D2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; 2. Contraa</w:t>
                            </w:r>
                            <w:r w:rsidRPr="00875D2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rgumentos y reservas; 3. El uso de los datos; Comparación; 4. Inicios y remates; 4. Seminario socrático III: Ética de la escritura</w:t>
                            </w:r>
                          </w:p>
                          <w:p w:rsidR="002E2A55" w:rsidRPr="00875D25" w:rsidRDefault="001D4ACE" w:rsidP="00875D25">
                            <w:pPr>
                              <w:spacing w:before="240"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5D25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V: Taller de redacción de ensayos</w:t>
                            </w:r>
                          </w:p>
                          <w:p w:rsidR="002E2A55" w:rsidRPr="00875D25" w:rsidRDefault="001D4ACE" w:rsidP="00875D2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5D2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1. El ensayo. 1.1. Introducción al género del ensayo. 1.2. Partes y estructura del </w:t>
                            </w:r>
                            <w:r w:rsidRPr="00875D2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ensayo. 1.3. Formulación de temas. 1.4. Articulación teórica y de datos. 1.5. Escritura del ensayo: la importancia de la forma 1.6. Inicios y remates. 2. Taller de redacción de ensayos. 2.1. Definición de objeto. 2.2. Problematización: enfoque y teoría. 2.</w:t>
                            </w:r>
                            <w:r w:rsidRPr="00875D2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3. Presupuestos principales y argumentación</w:t>
                            </w:r>
                          </w:p>
                          <w:p w:rsidR="002E2A55" w:rsidRPr="00875D25" w:rsidRDefault="001D4ACE" w:rsidP="00875D25">
                            <w:pPr>
                              <w:spacing w:before="240"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5D25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VI: Formas orales de comunicación</w:t>
                            </w:r>
                          </w:p>
                          <w:p w:rsidR="002E2A55" w:rsidRPr="00875D25" w:rsidRDefault="001D4ACE" w:rsidP="00875D2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5D2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1. Seminario socrático; 2. Discusión, debate, mesa redonda; 3. Preparación para exposiciones; 4. Generación de contenidos: Envío de audios y videos</w:t>
                            </w:r>
                            <w:r w:rsidR="00875D2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E2A55" w:rsidRDefault="002E2A55">
                            <w:pPr>
                              <w:ind w:right="5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16.95pt;margin-top:4.95pt;width:417.75pt;height:4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2E2A55" w:rsidRPr="00875D25" w:rsidRDefault="001D4ACE" w:rsidP="00875D2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5D25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I: Cómo leer y por qué</w:t>
                      </w:r>
                    </w:p>
                    <w:p w:rsidR="002E2A55" w:rsidRPr="00875D25" w:rsidRDefault="001D4ACE" w:rsidP="00875D2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5D2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1. Cómo leer y por qué; 1.1. Comprensión lectora; 1.2. Formulación de temas o ideas centrales e ideas principales; 1.3. Juicios valorativos con base en datos; 2. Seminario socrático I: Cómo leer y por qué; 3. El reporte de lectura y el informe; 4. Lectura </w:t>
                      </w:r>
                      <w:r w:rsidRPr="00875D2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activa: subrayado y apuntes.</w:t>
                      </w:r>
                    </w:p>
                    <w:p w:rsidR="002E2A55" w:rsidRPr="00875D25" w:rsidRDefault="001D4ACE" w:rsidP="00875D25">
                      <w:pPr>
                        <w:spacing w:before="240"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5D25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II: La máquina de escribir</w:t>
                      </w:r>
                    </w:p>
                    <w:p w:rsidR="002E2A55" w:rsidRPr="00875D25" w:rsidRDefault="001D4ACE" w:rsidP="00875D2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5D2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1. Contar en sí: Taller de aproximaciones creativas a la escritura; 2. El espejo de la escritura: Taller de escritura creativa a partir de géneros discursivos teóricos y críticos; 3. Taller de</w:t>
                      </w:r>
                      <w:r w:rsidRPr="00875D2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glosario: Elaboración, comprensión e implementación de conceptos y léxico especializado. 4. Seminario socrático II: Club de lectura</w:t>
                      </w:r>
                    </w:p>
                    <w:p w:rsidR="002E2A55" w:rsidRPr="00875D25" w:rsidRDefault="001D4ACE" w:rsidP="00875D25">
                      <w:pPr>
                        <w:spacing w:before="240"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5D25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III: Gramática de la escritura I</w:t>
                      </w:r>
                    </w:p>
                    <w:p w:rsidR="002E2A55" w:rsidRPr="00875D25" w:rsidRDefault="001D4ACE" w:rsidP="00875D2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5D2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1. Categorías léxicas; 2. Análisis sintáctico, morfológico y semántico de oracione</w:t>
                      </w:r>
                      <w:r w:rsidRPr="00875D2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s; 3. Tiempos verbales; 4. Verbos transitivos e intransitivos; 5. Concordancias de género y número; 6. Preposiciones; 7. Signos de puntuación. 8. Análisis del discurso</w:t>
                      </w:r>
                    </w:p>
                    <w:p w:rsidR="002E2A55" w:rsidRPr="00875D25" w:rsidRDefault="001D4ACE" w:rsidP="00875D25">
                      <w:pPr>
                        <w:spacing w:before="240"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5D25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III: Gramática de la escritura II</w:t>
                      </w:r>
                    </w:p>
                    <w:p w:rsidR="002E2A55" w:rsidRPr="00875D25" w:rsidRDefault="001D4ACE" w:rsidP="00875D2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5D2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1. Modelo argumentativo de </w:t>
                      </w:r>
                      <w:proofErr w:type="spellStart"/>
                      <w:r w:rsidRPr="00875D2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Toulmin</w:t>
                      </w:r>
                      <w:proofErr w:type="spellEnd"/>
                      <w:r w:rsidRPr="00875D2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; 2. Contraa</w:t>
                      </w:r>
                      <w:r w:rsidRPr="00875D2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rgumentos y reservas; 3. El uso de los datos; Comparación; 4. Inicios y remates; 4. Seminario socrático III: Ética de la escritura</w:t>
                      </w:r>
                    </w:p>
                    <w:p w:rsidR="002E2A55" w:rsidRPr="00875D25" w:rsidRDefault="001D4ACE" w:rsidP="00875D25">
                      <w:pPr>
                        <w:spacing w:before="240"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5D25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V: Taller de redacción de ensayos</w:t>
                      </w:r>
                    </w:p>
                    <w:p w:rsidR="002E2A55" w:rsidRPr="00875D25" w:rsidRDefault="001D4ACE" w:rsidP="00875D2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5D2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1. El ensayo. 1.1. Introducción al género del ensayo. 1.2. Partes y estructura del </w:t>
                      </w:r>
                      <w:r w:rsidRPr="00875D2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ensayo. 1.3. Formulación de temas. 1.4. Articulación teórica y de datos. 1.5. Escritura del ensayo: la importancia de la forma 1.6. Inicios y remates. 2. Taller de redacción de ensayos. 2.1. Definición de objeto. 2.2. Problematización: enfoque y teoría. 2.</w:t>
                      </w:r>
                      <w:r w:rsidRPr="00875D2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3. Presupuestos principales y argumentación</w:t>
                      </w:r>
                    </w:p>
                    <w:p w:rsidR="002E2A55" w:rsidRPr="00875D25" w:rsidRDefault="001D4ACE" w:rsidP="00875D25">
                      <w:pPr>
                        <w:spacing w:before="240"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5D25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VI: Formas orales de comunicación</w:t>
                      </w:r>
                    </w:p>
                    <w:p w:rsidR="002E2A55" w:rsidRPr="00875D25" w:rsidRDefault="001D4ACE" w:rsidP="00875D2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5D2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1. Seminario socrático; 2. Discusión, debate, mesa redonda; 3. Preparación para exposiciones; 4. Generación de contenidos: Envío de audios y videos</w:t>
                      </w:r>
                      <w:r w:rsidR="00875D2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2E2A55" w:rsidRDefault="002E2A55">
                      <w:pPr>
                        <w:ind w:right="5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75D25" w:rsidRDefault="00875D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75D25" w:rsidRDefault="00875D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2E2A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E2A55" w:rsidRDefault="001D4ACE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2E2A55" w:rsidRDefault="002E2A55"/>
    <w:p w:rsidR="002E2A55" w:rsidRDefault="001D4ACE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-3810</wp:posOffset>
                </wp:positionV>
                <wp:extent cx="5257800" cy="625792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E2A55" w:rsidRPr="00F15FF9" w:rsidRDefault="001D4ACE" w:rsidP="00F15FF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5FF9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Bibliografía básica </w:t>
                            </w:r>
                          </w:p>
                          <w:p w:rsidR="002E2A55" w:rsidRPr="00F15FF9" w:rsidRDefault="001D4ACE" w:rsidP="00F15FF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Bloom, H. (2000) </w:t>
                            </w:r>
                            <w:r w:rsidRPr="00F15FF9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 xml:space="preserve">Cómo leer y por qué. </w:t>
                            </w: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Barcelona: Editorial Norma, pp. 21-33. </w:t>
                            </w:r>
                          </w:p>
                          <w:p w:rsidR="002E2A55" w:rsidRPr="00F15FF9" w:rsidRDefault="001D4ACE" w:rsidP="00F15FF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Carlino</w:t>
                            </w:r>
                            <w:proofErr w:type="spellEnd"/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P. (2005). </w:t>
                            </w:r>
                            <w:r w:rsidRPr="00F15FF9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 xml:space="preserve">Escribir, leer y aprender en la universidad </w:t>
                            </w: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(pp. 9-16). Buenos Aires: Fondo de cultura económica. </w:t>
                            </w:r>
                          </w:p>
                          <w:p w:rsidR="002E2A55" w:rsidRPr="00F15FF9" w:rsidRDefault="001D4ACE" w:rsidP="00F15FF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Didi-Huberman</w:t>
                            </w:r>
                            <w:proofErr w:type="spellEnd"/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G. (2004). </w:t>
                            </w:r>
                            <w:r w:rsidRPr="00F15FF9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Imágenes pese a todo</w:t>
                            </w: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Mariana </w:t>
                            </w:r>
                            <w:proofErr w:type="spellStart"/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Miracle</w:t>
                            </w:r>
                            <w:proofErr w:type="spellEnd"/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(trad.). Barcelona: Paidós.</w:t>
                            </w:r>
                          </w:p>
                          <w:p w:rsidR="002E2A55" w:rsidRPr="00F15FF9" w:rsidRDefault="001D4ACE" w:rsidP="00F15FF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reporte de lectura (documento facilitado por el profesor) </w:t>
                            </w:r>
                          </w:p>
                          <w:p w:rsidR="002E2A55" w:rsidRPr="00F15FF9" w:rsidRDefault="001D4ACE" w:rsidP="00F15FF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Ferreiro, E. &amp; Palacio, M.G. (1991) </w:t>
                            </w:r>
                            <w:r w:rsidRPr="00F15FF9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Nuevas p</w:t>
                            </w:r>
                            <w:r w:rsidRPr="00F15FF9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 xml:space="preserve">erspectivas sobre los procesos de lectura y escritura. </w:t>
                            </w: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Buenos Aires: Siglo XXI.</w:t>
                            </w:r>
                          </w:p>
                          <w:p w:rsidR="002E2A55" w:rsidRPr="00F15FF9" w:rsidRDefault="001D4ACE" w:rsidP="00F15FF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Foster, H. () </w:t>
                            </w:r>
                            <w:r w:rsidRPr="00F15FF9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 xml:space="preserve">El retorno de lo Real: La vanguardia a finales de siglo. </w:t>
                            </w: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Alfredo </w:t>
                            </w:r>
                            <w:proofErr w:type="spellStart"/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Brotons</w:t>
                            </w:r>
                            <w:proofErr w:type="spellEnd"/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Muñoz (trad.). Madrid: </w:t>
                            </w:r>
                            <w:proofErr w:type="spellStart"/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Akal</w:t>
                            </w:r>
                            <w:proofErr w:type="spellEnd"/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E2A55" w:rsidRPr="00F15FF9" w:rsidRDefault="001D4ACE" w:rsidP="00F15FF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Gómez-Martínez, J. L. (1981). </w:t>
                            </w:r>
                            <w:r w:rsidRPr="00F15FF9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 xml:space="preserve">Teoría del ensayo </w:t>
                            </w: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(Vol. 36).</w:t>
                            </w: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Edic</w:t>
                            </w:r>
                            <w:proofErr w:type="spellEnd"/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Universidad de Salamanca. </w:t>
                            </w:r>
                          </w:p>
                          <w:p w:rsidR="002E2A55" w:rsidRPr="00F15FF9" w:rsidRDefault="001D4ACE" w:rsidP="00F15FF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Hernández, R., &amp; Mary, R. (1999). Comunicación oral y escrita. </w:t>
                            </w:r>
                            <w:r w:rsidRPr="00F15FF9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San José, CR: EUNED</w:t>
                            </w: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 </w:t>
                            </w:r>
                          </w:p>
                          <w:p w:rsidR="002E2A55" w:rsidRPr="00F15FF9" w:rsidRDefault="001D4ACE" w:rsidP="00F15FF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Laco, L., </w:t>
                            </w:r>
                            <w:proofErr w:type="spellStart"/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Natale</w:t>
                            </w:r>
                            <w:proofErr w:type="spellEnd"/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L., &amp; Ávila, M. (2012). La lectura y la escritura en la formación académica, docente y profesional. </w:t>
                            </w:r>
                            <w:r w:rsidRPr="00F15FF9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Sarmiento Argentina: Editorial de la Universidad Tecnológica Nacional</w:t>
                            </w: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 </w:t>
                            </w:r>
                          </w:p>
                          <w:p w:rsidR="002E2A55" w:rsidRPr="00F15FF9" w:rsidRDefault="001D4ACE" w:rsidP="00F15FF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Padilla, C. (2009). Argumentación académica: La escritura de ponencias en el marco de una asignatura universitaria. In </w:t>
                            </w:r>
                            <w:r w:rsidRPr="00F15FF9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 xml:space="preserve">Actas del XI Congreso Nacional de Lingüística </w:t>
                            </w: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(pp. 1-14). </w:t>
                            </w:r>
                          </w:p>
                          <w:p w:rsidR="002E2A55" w:rsidRPr="00F15FF9" w:rsidRDefault="001D4ACE" w:rsidP="00F15FF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Padi</w:t>
                            </w: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lla, C., Douglas, S., &amp; </w:t>
                            </w:r>
                            <w:proofErr w:type="spellStart"/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Lopez</w:t>
                            </w:r>
                            <w:proofErr w:type="spellEnd"/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E. A. (2010). Competencias argumentativas en la alfabetización académica. </w:t>
                            </w:r>
                            <w:r w:rsidRPr="00F15FF9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 xml:space="preserve">@ </w:t>
                            </w:r>
                            <w:proofErr w:type="gramStart"/>
                            <w:r w:rsidRPr="00F15FF9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tic</w:t>
                            </w:r>
                            <w:proofErr w:type="gramEnd"/>
                            <w:r w:rsidRPr="00F15FF9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gramStart"/>
                            <w:r w:rsidRPr="00F15FF9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revista</w:t>
                            </w:r>
                            <w:proofErr w:type="gramEnd"/>
                            <w:r w:rsidRPr="00F15FF9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5FF9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d'innovació</w:t>
                            </w:r>
                            <w:proofErr w:type="spellEnd"/>
                            <w:r w:rsidRPr="00F15FF9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 xml:space="preserve"> educativa</w:t>
                            </w: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(4), 2-12. </w:t>
                            </w:r>
                          </w:p>
                          <w:p w:rsidR="00F15FF9" w:rsidRDefault="001D4ACE" w:rsidP="00F15FF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Pratt</w:t>
                            </w:r>
                            <w:proofErr w:type="spellEnd"/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M. L. (2010). </w:t>
                            </w:r>
                            <w:r w:rsidRPr="00F15FF9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 xml:space="preserve">Ojos imperiales: Literatura de viajes y transculturación. </w:t>
                            </w: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Ofelia Castillo (trad</w:t>
                            </w: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.). México: Fondo de Cultura Económica.</w:t>
                            </w:r>
                          </w:p>
                          <w:p w:rsidR="002E2A55" w:rsidRPr="00F15FF9" w:rsidRDefault="001D4ACE" w:rsidP="00F15FF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Rojas, H. Á. F., &amp; Gil, R. R. (2011). Leer para investigar. </w:t>
                            </w:r>
                            <w:r w:rsidRPr="00F15FF9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La Colmena: Revista de la Universidad Autónoma del Estado de México</w:t>
                            </w: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(72), 23-29. </w:t>
                            </w:r>
                          </w:p>
                          <w:p w:rsidR="002E2A55" w:rsidRPr="00F15FF9" w:rsidRDefault="001D4ACE" w:rsidP="00F15FF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Torres, S., González </w:t>
                            </w:r>
                            <w:proofErr w:type="spellStart"/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Bonorin</w:t>
                            </w:r>
                            <w:bookmarkStart w:id="1" w:name="_GoBack"/>
                            <w:bookmarkEnd w:id="1"/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A., &amp; </w:t>
                            </w:r>
                            <w:proofErr w:type="spellStart"/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Vavilova</w:t>
                            </w:r>
                            <w:proofErr w:type="spellEnd"/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I. (2012). La Cita y Refe</w:t>
                            </w: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rencia Bibliográfica: Guía basada en las normas APA.</w:t>
                            </w:r>
                          </w:p>
                          <w:p w:rsidR="002E2A55" w:rsidRPr="00F15FF9" w:rsidRDefault="001D4ACE" w:rsidP="00F15FF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Ludmer</w:t>
                            </w:r>
                            <w:proofErr w:type="spellEnd"/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J. (1984). Las tretas del débil. In: González, P.; Ortega, E. (eds.). </w:t>
                            </w:r>
                            <w:r w:rsidRPr="00F15FF9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 xml:space="preserve">La sartén por el mango: Encuentro de escritoras latinoamericanas. </w:t>
                            </w:r>
                            <w:r w:rsidRPr="00F15FF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Río Piedras, Puerto Rico: Ediciones Huracán, p. 47-54.</w:t>
                            </w:r>
                          </w:p>
                          <w:p w:rsidR="002E2A55" w:rsidRDefault="002E2A55">
                            <w:pPr>
                              <w:spacing w:after="240" w:line="275" w:lineRule="auto"/>
                              <w:textDirection w:val="btLr"/>
                            </w:pPr>
                          </w:p>
                          <w:p w:rsidR="002E2A55" w:rsidRDefault="002E2A55">
                            <w:pPr>
                              <w:spacing w:after="240" w:line="275" w:lineRule="auto"/>
                              <w:textDirection w:val="btLr"/>
                            </w:pPr>
                          </w:p>
                          <w:p w:rsidR="002E2A55" w:rsidRDefault="002E2A55">
                            <w:pPr>
                              <w:spacing w:after="240" w:line="275" w:lineRule="auto"/>
                              <w:textDirection w:val="btLr"/>
                            </w:pPr>
                          </w:p>
                          <w:p w:rsidR="002E2A55" w:rsidRDefault="002E2A55">
                            <w:pPr>
                              <w:spacing w:after="240" w:line="275" w:lineRule="auto"/>
                              <w:textDirection w:val="btLr"/>
                            </w:pPr>
                          </w:p>
                          <w:p w:rsidR="002E2A55" w:rsidRDefault="002E2A55">
                            <w:pPr>
                              <w:spacing w:after="240" w:line="275" w:lineRule="auto"/>
                              <w:textDirection w:val="btLr"/>
                            </w:pPr>
                          </w:p>
                          <w:p w:rsidR="002E2A55" w:rsidRDefault="002E2A55">
                            <w:pPr>
                              <w:spacing w:after="240" w:line="275" w:lineRule="auto"/>
                              <w:textDirection w:val="btLr"/>
                            </w:pPr>
                          </w:p>
                          <w:p w:rsidR="002E2A55" w:rsidRDefault="002E2A55">
                            <w:pPr>
                              <w:spacing w:after="240" w:line="275" w:lineRule="auto"/>
                              <w:textDirection w:val="btLr"/>
                            </w:pPr>
                          </w:p>
                          <w:p w:rsidR="002E2A55" w:rsidRDefault="002E2A55">
                            <w:pPr>
                              <w:spacing w:after="240" w:line="275" w:lineRule="auto"/>
                              <w:textDirection w:val="btLr"/>
                            </w:pPr>
                          </w:p>
                          <w:p w:rsidR="002E2A55" w:rsidRDefault="002E2A55">
                            <w:pPr>
                              <w:spacing w:after="240" w:line="275" w:lineRule="auto"/>
                              <w:textDirection w:val="btLr"/>
                            </w:pPr>
                          </w:p>
                          <w:p w:rsidR="002E2A55" w:rsidRDefault="002E2A55">
                            <w:pPr>
                              <w:spacing w:after="240" w:line="275" w:lineRule="auto"/>
                              <w:textDirection w:val="btLr"/>
                            </w:pPr>
                          </w:p>
                          <w:p w:rsidR="002E2A55" w:rsidRDefault="002E2A55">
                            <w:pPr>
                              <w:spacing w:after="240" w:line="275" w:lineRule="auto"/>
                              <w:textDirection w:val="btLr"/>
                            </w:pPr>
                          </w:p>
                          <w:p w:rsidR="002E2A55" w:rsidRDefault="002E2A55">
                            <w:pPr>
                              <w:spacing w:after="24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left:0;text-align:left;margin-left:16.95pt;margin-top:-.3pt;width:414pt;height:4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2E2A55" w:rsidRPr="00F15FF9" w:rsidRDefault="001D4ACE" w:rsidP="00F15FF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5FF9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Bibliografía básica </w:t>
                      </w:r>
                    </w:p>
                    <w:p w:rsidR="002E2A55" w:rsidRPr="00F15FF9" w:rsidRDefault="001D4ACE" w:rsidP="00F15FF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Bloom, H. (2000) </w:t>
                      </w:r>
                      <w:r w:rsidRPr="00F15FF9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 xml:space="preserve">Cómo leer y por qué. </w:t>
                      </w: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Barcelona: Editorial Norma, pp. 21-33. </w:t>
                      </w:r>
                    </w:p>
                    <w:p w:rsidR="002E2A55" w:rsidRPr="00F15FF9" w:rsidRDefault="001D4ACE" w:rsidP="00F15FF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Carlino</w:t>
                      </w:r>
                      <w:proofErr w:type="spellEnd"/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P. (2005). </w:t>
                      </w:r>
                      <w:r w:rsidRPr="00F15FF9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 xml:space="preserve">Escribir, leer y aprender en la universidad </w:t>
                      </w: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(pp. 9-16). Buenos Aires: Fondo de cultura económica. </w:t>
                      </w:r>
                    </w:p>
                    <w:p w:rsidR="002E2A55" w:rsidRPr="00F15FF9" w:rsidRDefault="001D4ACE" w:rsidP="00F15FF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Didi-Huberman</w:t>
                      </w:r>
                      <w:proofErr w:type="spellEnd"/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G. (2004). </w:t>
                      </w:r>
                      <w:r w:rsidRPr="00F15FF9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Imágenes pese a todo</w:t>
                      </w: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. Mariana </w:t>
                      </w:r>
                      <w:proofErr w:type="spellStart"/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Miracle</w:t>
                      </w:r>
                      <w:proofErr w:type="spellEnd"/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(trad.). Barcelona: Paidós.</w:t>
                      </w:r>
                    </w:p>
                    <w:p w:rsidR="002E2A55" w:rsidRPr="00F15FF9" w:rsidRDefault="001D4ACE" w:rsidP="00F15FF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reporte de lectura (documento facilitado por el profesor) </w:t>
                      </w:r>
                    </w:p>
                    <w:p w:rsidR="002E2A55" w:rsidRPr="00F15FF9" w:rsidRDefault="001D4ACE" w:rsidP="00F15FF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Ferreiro, E. &amp; Palacio, M.G. (1991) </w:t>
                      </w:r>
                      <w:r w:rsidRPr="00F15FF9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Nuevas p</w:t>
                      </w:r>
                      <w:r w:rsidRPr="00F15FF9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 xml:space="preserve">erspectivas sobre los procesos de lectura y escritura. </w:t>
                      </w: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Buenos Aires: Siglo XXI.</w:t>
                      </w:r>
                    </w:p>
                    <w:p w:rsidR="002E2A55" w:rsidRPr="00F15FF9" w:rsidRDefault="001D4ACE" w:rsidP="00F15FF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Foster, H. () </w:t>
                      </w:r>
                      <w:r w:rsidRPr="00F15FF9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 xml:space="preserve">El retorno de lo Real: La vanguardia a finales de siglo. </w:t>
                      </w: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Alfredo </w:t>
                      </w:r>
                      <w:proofErr w:type="spellStart"/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Brotons</w:t>
                      </w:r>
                      <w:proofErr w:type="spellEnd"/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Muñoz (trad.). Madrid: </w:t>
                      </w:r>
                      <w:proofErr w:type="spellStart"/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Akal</w:t>
                      </w:r>
                      <w:proofErr w:type="spellEnd"/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2E2A55" w:rsidRPr="00F15FF9" w:rsidRDefault="001D4ACE" w:rsidP="00F15FF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Gómez-Martínez, J. L. (1981). </w:t>
                      </w:r>
                      <w:r w:rsidRPr="00F15FF9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 xml:space="preserve">Teoría del ensayo </w:t>
                      </w: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(Vol. 36).</w:t>
                      </w: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Edic</w:t>
                      </w:r>
                      <w:proofErr w:type="spellEnd"/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Universidad de Salamanca. </w:t>
                      </w:r>
                    </w:p>
                    <w:p w:rsidR="002E2A55" w:rsidRPr="00F15FF9" w:rsidRDefault="001D4ACE" w:rsidP="00F15FF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Hernández, R., &amp; Mary, R. (1999). Comunicación oral y escrita. </w:t>
                      </w:r>
                      <w:r w:rsidRPr="00F15FF9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San José, CR: EUNED</w:t>
                      </w: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 </w:t>
                      </w:r>
                    </w:p>
                    <w:p w:rsidR="002E2A55" w:rsidRPr="00F15FF9" w:rsidRDefault="001D4ACE" w:rsidP="00F15FF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Laco, L., </w:t>
                      </w:r>
                      <w:proofErr w:type="spellStart"/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Natale</w:t>
                      </w:r>
                      <w:proofErr w:type="spellEnd"/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L., &amp; Ávila, M. (2012). La lectura y la escritura en la formación académica, docente y profesional. </w:t>
                      </w:r>
                      <w:r w:rsidRPr="00F15FF9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Sarmiento Argentina: Editorial de la Universidad Tecnológica Nacional</w:t>
                      </w: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 </w:t>
                      </w:r>
                    </w:p>
                    <w:p w:rsidR="002E2A55" w:rsidRPr="00F15FF9" w:rsidRDefault="001D4ACE" w:rsidP="00F15FF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Padilla, C. (2009). Argumentación académica: La escritura de ponencias en el marco de una asignatura universitaria. In </w:t>
                      </w:r>
                      <w:r w:rsidRPr="00F15FF9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 xml:space="preserve">Actas del XI Congreso Nacional de Lingüística </w:t>
                      </w: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(pp. 1-14). </w:t>
                      </w:r>
                    </w:p>
                    <w:p w:rsidR="002E2A55" w:rsidRPr="00F15FF9" w:rsidRDefault="001D4ACE" w:rsidP="00F15FF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Padi</w:t>
                      </w: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lla, C., Douglas, S., &amp; </w:t>
                      </w:r>
                      <w:proofErr w:type="spellStart"/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Lopez</w:t>
                      </w:r>
                      <w:proofErr w:type="spellEnd"/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E. A. (2010). Competencias argumentativas en la alfabetización académica. </w:t>
                      </w:r>
                      <w:r w:rsidRPr="00F15FF9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 xml:space="preserve">@ </w:t>
                      </w:r>
                      <w:proofErr w:type="gramStart"/>
                      <w:r w:rsidRPr="00F15FF9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tic</w:t>
                      </w:r>
                      <w:proofErr w:type="gramEnd"/>
                      <w:r w:rsidRPr="00F15FF9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 xml:space="preserve">. </w:t>
                      </w:r>
                      <w:proofErr w:type="gramStart"/>
                      <w:r w:rsidRPr="00F15FF9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revista</w:t>
                      </w:r>
                      <w:proofErr w:type="gramEnd"/>
                      <w:r w:rsidRPr="00F15FF9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5FF9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d'innovació</w:t>
                      </w:r>
                      <w:proofErr w:type="spellEnd"/>
                      <w:r w:rsidRPr="00F15FF9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 xml:space="preserve"> educativa</w:t>
                      </w: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(4), 2-12. </w:t>
                      </w:r>
                    </w:p>
                    <w:p w:rsidR="00F15FF9" w:rsidRDefault="001D4ACE" w:rsidP="00F15FF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Pratt</w:t>
                      </w:r>
                      <w:proofErr w:type="spellEnd"/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M. L. (2010). </w:t>
                      </w:r>
                      <w:r w:rsidRPr="00F15FF9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 xml:space="preserve">Ojos imperiales: Literatura de viajes y transculturación. </w:t>
                      </w: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Ofelia Castillo (trad</w:t>
                      </w: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.). México: Fondo de Cultura Económica.</w:t>
                      </w:r>
                    </w:p>
                    <w:p w:rsidR="002E2A55" w:rsidRPr="00F15FF9" w:rsidRDefault="001D4ACE" w:rsidP="00F15FF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Rojas, H. Á. F., &amp; Gil, R. R. (2011). Leer para investigar. </w:t>
                      </w:r>
                      <w:r w:rsidRPr="00F15FF9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La Colmena: Revista de la Universidad Autónoma del Estado de México</w:t>
                      </w: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(72), 23-29. </w:t>
                      </w:r>
                    </w:p>
                    <w:p w:rsidR="002E2A55" w:rsidRPr="00F15FF9" w:rsidRDefault="001D4ACE" w:rsidP="00F15FF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Torres, S., González </w:t>
                      </w:r>
                      <w:proofErr w:type="spellStart"/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Bonorin</w:t>
                      </w:r>
                      <w:bookmarkStart w:id="2" w:name="_GoBack"/>
                      <w:bookmarkEnd w:id="2"/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o</w:t>
                      </w:r>
                      <w:proofErr w:type="spellEnd"/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A., &amp; </w:t>
                      </w:r>
                      <w:proofErr w:type="spellStart"/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Vavilova</w:t>
                      </w:r>
                      <w:proofErr w:type="spellEnd"/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I. (2012). La Cita y Refe</w:t>
                      </w: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rencia Bibliográfica: Guía basada en las normas APA.</w:t>
                      </w:r>
                    </w:p>
                    <w:p w:rsidR="002E2A55" w:rsidRPr="00F15FF9" w:rsidRDefault="001D4ACE" w:rsidP="00F15FF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Ludmer</w:t>
                      </w:r>
                      <w:proofErr w:type="spellEnd"/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J. (1984). Las tretas del débil. In: González, P.; Ortega, E. (eds.). </w:t>
                      </w:r>
                      <w:r w:rsidRPr="00F15FF9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 xml:space="preserve">La sartén por el mango: Encuentro de escritoras latinoamericanas. </w:t>
                      </w:r>
                      <w:r w:rsidRPr="00F15FF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Río Piedras, Puerto Rico: Ediciones Huracán, p. 47-54.</w:t>
                      </w:r>
                    </w:p>
                    <w:p w:rsidR="002E2A55" w:rsidRDefault="002E2A55">
                      <w:pPr>
                        <w:spacing w:after="240" w:line="275" w:lineRule="auto"/>
                        <w:textDirection w:val="btLr"/>
                      </w:pPr>
                    </w:p>
                    <w:p w:rsidR="002E2A55" w:rsidRDefault="002E2A55">
                      <w:pPr>
                        <w:spacing w:after="240" w:line="275" w:lineRule="auto"/>
                        <w:textDirection w:val="btLr"/>
                      </w:pPr>
                    </w:p>
                    <w:p w:rsidR="002E2A55" w:rsidRDefault="002E2A55">
                      <w:pPr>
                        <w:spacing w:after="240" w:line="275" w:lineRule="auto"/>
                        <w:textDirection w:val="btLr"/>
                      </w:pPr>
                    </w:p>
                    <w:p w:rsidR="002E2A55" w:rsidRDefault="002E2A55">
                      <w:pPr>
                        <w:spacing w:after="240" w:line="275" w:lineRule="auto"/>
                        <w:textDirection w:val="btLr"/>
                      </w:pPr>
                    </w:p>
                    <w:p w:rsidR="002E2A55" w:rsidRDefault="002E2A55">
                      <w:pPr>
                        <w:spacing w:after="240" w:line="275" w:lineRule="auto"/>
                        <w:textDirection w:val="btLr"/>
                      </w:pPr>
                    </w:p>
                    <w:p w:rsidR="002E2A55" w:rsidRDefault="002E2A55">
                      <w:pPr>
                        <w:spacing w:after="240" w:line="275" w:lineRule="auto"/>
                        <w:textDirection w:val="btLr"/>
                      </w:pPr>
                    </w:p>
                    <w:p w:rsidR="002E2A55" w:rsidRDefault="002E2A55">
                      <w:pPr>
                        <w:spacing w:after="240" w:line="275" w:lineRule="auto"/>
                        <w:textDirection w:val="btLr"/>
                      </w:pPr>
                    </w:p>
                    <w:p w:rsidR="002E2A55" w:rsidRDefault="002E2A55">
                      <w:pPr>
                        <w:spacing w:after="240" w:line="275" w:lineRule="auto"/>
                        <w:textDirection w:val="btLr"/>
                      </w:pPr>
                    </w:p>
                    <w:p w:rsidR="002E2A55" w:rsidRDefault="002E2A55">
                      <w:pPr>
                        <w:spacing w:after="240" w:line="275" w:lineRule="auto"/>
                        <w:textDirection w:val="btLr"/>
                      </w:pPr>
                    </w:p>
                    <w:p w:rsidR="002E2A55" w:rsidRDefault="002E2A55">
                      <w:pPr>
                        <w:spacing w:after="240" w:line="275" w:lineRule="auto"/>
                        <w:textDirection w:val="btLr"/>
                      </w:pPr>
                    </w:p>
                    <w:p w:rsidR="002E2A55" w:rsidRDefault="002E2A55">
                      <w:pPr>
                        <w:spacing w:after="240" w:line="275" w:lineRule="auto"/>
                        <w:textDirection w:val="btLr"/>
                      </w:pPr>
                    </w:p>
                    <w:p w:rsidR="002E2A55" w:rsidRDefault="002E2A55">
                      <w:pPr>
                        <w:spacing w:after="240"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2E2A55" w:rsidSect="00875D25">
      <w:headerReference w:type="default" r:id="rId9"/>
      <w:pgSz w:w="11906" w:h="16838"/>
      <w:pgMar w:top="1417" w:right="1701" w:bottom="42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CE" w:rsidRDefault="001D4ACE">
      <w:r>
        <w:separator/>
      </w:r>
    </w:p>
  </w:endnote>
  <w:endnote w:type="continuationSeparator" w:id="0">
    <w:p w:rsidR="001D4ACE" w:rsidRDefault="001D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CE" w:rsidRDefault="001D4ACE">
      <w:r>
        <w:separator/>
      </w:r>
    </w:p>
  </w:footnote>
  <w:footnote w:type="continuationSeparator" w:id="0">
    <w:p w:rsidR="001D4ACE" w:rsidRDefault="001D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55" w:rsidRDefault="001D4A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rFonts w:ascii="Arial" w:eastAsia="Arial" w:hAnsi="Arial" w:cs="Arial"/>
        <w:b/>
        <w:noProof/>
        <w:sz w:val="26"/>
        <w:szCs w:val="26"/>
      </w:rPr>
      <w:drawing>
        <wp:inline distT="0" distB="0" distL="0" distR="0" wp14:anchorId="78D5B9A7" wp14:editId="3A403833">
          <wp:extent cx="5534025" cy="447675"/>
          <wp:effectExtent l="0" t="0" r="9525" b="9525"/>
          <wp:docPr id="12" name="image1.jpg" descr="ENCABEZADO PROGRAMA ARQU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CABEZADO PROGRAMA ARQU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803" cy="4500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835"/>
    <w:multiLevelType w:val="hybridMultilevel"/>
    <w:tmpl w:val="BADAC3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2A55"/>
    <w:rsid w:val="00132B43"/>
    <w:rsid w:val="001D4ACE"/>
    <w:rsid w:val="002E2A55"/>
    <w:rsid w:val="00875D25"/>
    <w:rsid w:val="00F1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JXoAKQIHffNIlZG1nRPvzCpl9w==">AMUW2mV3rQWrEN+qkXLvGRHq25MiS1mUoJvUYNyrKDNwJKMsMftUUYTo+Cv8USRM18bKenK34hnEiA5S63W6ak2RDe2ezwyrd6KeaYK/Nt5BO+XPSTNLn7tki7sb23BHRtefXC6OiAms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2</cp:revision>
  <dcterms:created xsi:type="dcterms:W3CDTF">2022-09-12T21:39:00Z</dcterms:created>
  <dcterms:modified xsi:type="dcterms:W3CDTF">2022-09-19T18:44:00Z</dcterms:modified>
</cp:coreProperties>
</file>