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82" w:rsidRPr="009037B2" w:rsidRDefault="00FC0582" w:rsidP="00FC05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4"/>
          <w:szCs w:val="26"/>
        </w:rPr>
      </w:pPr>
    </w:p>
    <w:p w:rsidR="0008287E" w:rsidRDefault="00792EAA" w:rsidP="00FC058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ARTE LATINOAMERICANO </w:t>
      </w:r>
      <w:r w:rsidR="0008287E">
        <w:rPr>
          <w:rFonts w:ascii="Arial" w:hAnsi="Arial" w:cs="Arial"/>
          <w:b/>
          <w:bCs/>
          <w:color w:val="000000"/>
          <w:sz w:val="26"/>
          <w:szCs w:val="26"/>
        </w:rPr>
        <w:t>II</w:t>
      </w:r>
    </w:p>
    <w:p w:rsidR="00FA69ED" w:rsidRDefault="00FA69E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76CC" wp14:editId="235D12E1">
                <wp:simplePos x="0" y="0"/>
                <wp:positionH relativeFrom="column">
                  <wp:posOffset>91440</wp:posOffset>
                </wp:positionH>
                <wp:positionV relativeFrom="paragraph">
                  <wp:posOffset>56515</wp:posOffset>
                </wp:positionV>
                <wp:extent cx="558165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45pt" to="446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" strokecolor="#969696" strokeweight="1.5pt"/>
            </w:pict>
          </mc:Fallback>
        </mc:AlternateContent>
      </w:r>
    </w:p>
    <w:p w:rsidR="00C20A5D" w:rsidRDefault="00C20A5D" w:rsidP="007D29BB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08287E">
        <w:rPr>
          <w:sz w:val="28"/>
        </w:rPr>
        <w:t>8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D154B6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D154B6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856A" wp14:editId="4CBCECE7">
                <wp:simplePos x="0" y="0"/>
                <wp:positionH relativeFrom="column">
                  <wp:posOffset>224790</wp:posOffset>
                </wp:positionH>
                <wp:positionV relativeFrom="paragraph">
                  <wp:posOffset>83185</wp:posOffset>
                </wp:positionV>
                <wp:extent cx="5453379" cy="2571750"/>
                <wp:effectExtent l="0" t="0" r="1460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79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87E" w:rsidRPr="00D154B6" w:rsidRDefault="0008287E" w:rsidP="009037B2">
                            <w:pPr>
                              <w:pStyle w:val="NormalWeb"/>
                              <w:numPr>
                                <w:ilvl w:val="0"/>
                                <w:numId w:val="46"/>
                              </w:numPr>
                              <w:spacing w:before="5" w:beforeAutospacing="0" w:after="0" w:afterAutospacing="0" w:line="276" w:lineRule="auto"/>
                              <w:ind w:left="142" w:right="58" w:hanging="14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Descifrar, a través de algunas manifestaciones de arte contemporáneo, </w:t>
                            </w:r>
                            <w:r w:rsidR="00826202"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  complejo, ambiguo y cambiante concepto de la realidad; tanto de la</w:t>
                            </w:r>
                            <w:r w:rsidR="00826202"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realidad individual como de la artística, la latino</w:t>
                            </w:r>
                            <w:bookmarkStart w:id="0" w:name="_GoBack"/>
                            <w:bookmarkEnd w:id="0"/>
                            <w:r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americana o de cualquier  otra posible categoría. </w:t>
                            </w:r>
                          </w:p>
                          <w:p w:rsidR="0008287E" w:rsidRPr="00D154B6" w:rsidRDefault="0008287E" w:rsidP="009037B2">
                            <w:pPr>
                              <w:pStyle w:val="NormalWeb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8364"/>
                              </w:tabs>
                              <w:spacing w:before="26" w:beforeAutospacing="0" w:after="0" w:afterAutospacing="0" w:line="276" w:lineRule="auto"/>
                              <w:ind w:left="142" w:right="58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Registrar el desarrollo histórico de esas manifestaciones simbólicas, sobre  todo, desde mediados de los años ochenta hasta la actualidad,  identificando los</w:t>
                            </w:r>
                            <w:r w:rsidR="00826202"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antecedentes, los cambios, las teorías y las relaciones y  entre los distintos valores culturales y estéticos de cada época.  </w:t>
                            </w:r>
                          </w:p>
                          <w:p w:rsidR="0008287E" w:rsidRPr="00D154B6" w:rsidRDefault="0008287E" w:rsidP="009037B2">
                            <w:pPr>
                              <w:pStyle w:val="NormalWeb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7797"/>
                              </w:tabs>
                              <w:spacing w:before="11" w:beforeAutospacing="0" w:after="0" w:afterAutospacing="0" w:line="276" w:lineRule="auto"/>
                              <w:ind w:left="142" w:right="58" w:hanging="14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Proponer variadas y renovadas interpretaciones del arte producido “en” y  “sobre” Latinoamérica mediante lecturas transversales de los procesos de  circulación global del arte. </w:t>
                            </w:r>
                          </w:p>
                          <w:p w:rsidR="0008287E" w:rsidRPr="00D154B6" w:rsidRDefault="0008287E" w:rsidP="009037B2">
                            <w:pPr>
                              <w:pStyle w:val="NormalWeb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7797"/>
                              </w:tabs>
                              <w:spacing w:before="23" w:beforeAutospacing="0" w:after="0" w:afterAutospacing="0" w:line="276" w:lineRule="auto"/>
                              <w:ind w:left="142" w:right="58" w:hanging="14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54B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Identificar los grandes referentes del arte latinoamericano contemporáneo,  así como sus propuestas y discursos más significativos.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55pt;width:429.4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">
                <v:textbox>
                  <w:txbxContent>
                    <w:p w:rsidR="0008287E" w:rsidRPr="00D154B6" w:rsidRDefault="0008287E" w:rsidP="009037B2">
                      <w:pPr>
                        <w:pStyle w:val="NormalWeb"/>
                        <w:numPr>
                          <w:ilvl w:val="0"/>
                          <w:numId w:val="46"/>
                        </w:numPr>
                        <w:spacing w:before="5" w:beforeAutospacing="0" w:after="0" w:afterAutospacing="0" w:line="276" w:lineRule="auto"/>
                        <w:ind w:left="142" w:right="58" w:hanging="14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Descifrar, a través de algunas manifestaciones de arte contemporáneo, </w:t>
                      </w:r>
                      <w:r w:rsidR="00826202"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  complejo, ambiguo y cambiante concepto de la realidad; tanto de la</w:t>
                      </w:r>
                      <w:r w:rsidR="00826202"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realidad individual como de la artística, la latino</w:t>
                      </w:r>
                      <w:bookmarkStart w:id="1" w:name="_GoBack"/>
                      <w:bookmarkEnd w:id="1"/>
                      <w:r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americana o de cualquier  otra posible categoría. </w:t>
                      </w:r>
                    </w:p>
                    <w:p w:rsidR="0008287E" w:rsidRPr="00D154B6" w:rsidRDefault="0008287E" w:rsidP="009037B2">
                      <w:pPr>
                        <w:pStyle w:val="NormalWeb"/>
                        <w:numPr>
                          <w:ilvl w:val="0"/>
                          <w:numId w:val="46"/>
                        </w:numPr>
                        <w:tabs>
                          <w:tab w:val="left" w:pos="8364"/>
                        </w:tabs>
                        <w:spacing w:before="26" w:beforeAutospacing="0" w:after="0" w:afterAutospacing="0" w:line="276" w:lineRule="auto"/>
                        <w:ind w:left="142" w:right="58" w:hanging="142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Registrar el desarrollo histórico de esas manifestaciones simbólicas, sobre  todo, desde mediados de los años ochenta hasta la actualidad,  identificando los</w:t>
                      </w:r>
                      <w:r w:rsidR="00826202"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antecedentes, los cambios, las teorías y las relaciones y  entre los distintos valores culturales y estéticos de cada época.  </w:t>
                      </w:r>
                    </w:p>
                    <w:p w:rsidR="0008287E" w:rsidRPr="00D154B6" w:rsidRDefault="0008287E" w:rsidP="009037B2">
                      <w:pPr>
                        <w:pStyle w:val="NormalWeb"/>
                        <w:numPr>
                          <w:ilvl w:val="0"/>
                          <w:numId w:val="46"/>
                        </w:numPr>
                        <w:tabs>
                          <w:tab w:val="left" w:pos="7797"/>
                        </w:tabs>
                        <w:spacing w:before="11" w:beforeAutospacing="0" w:after="0" w:afterAutospacing="0" w:line="276" w:lineRule="auto"/>
                        <w:ind w:left="142" w:right="58" w:hanging="14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Proponer variadas y renovadas interpretaciones del arte producido “en” y  “sobre” Latinoamérica mediante lecturas transversales de los procesos de  circulación global del arte. </w:t>
                      </w:r>
                    </w:p>
                    <w:p w:rsidR="0008287E" w:rsidRPr="00D154B6" w:rsidRDefault="0008287E" w:rsidP="009037B2">
                      <w:pPr>
                        <w:pStyle w:val="NormalWeb"/>
                        <w:numPr>
                          <w:ilvl w:val="0"/>
                          <w:numId w:val="46"/>
                        </w:numPr>
                        <w:tabs>
                          <w:tab w:val="left" w:pos="7797"/>
                        </w:tabs>
                        <w:spacing w:before="23" w:beforeAutospacing="0" w:after="0" w:afterAutospacing="0" w:line="276" w:lineRule="auto"/>
                        <w:ind w:left="142" w:right="58" w:hanging="14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54B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Identificar los grandes referentes del arte latinoamericano contemporáneo,  así como sus propuestas y discursos más significativos.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06D93901" wp14:editId="566CA218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95EE1" w:rsidRDefault="00395EE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323578" w:rsidRDefault="00323578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8287E" w:rsidRDefault="0008287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8287E" w:rsidRDefault="0008287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8287E" w:rsidRDefault="0008287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8287E" w:rsidRDefault="0008287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08287E" w:rsidRDefault="0008287E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037B2" w:rsidRDefault="009037B2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037B2" w:rsidRDefault="009037B2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CC7494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73030" wp14:editId="1E008BB0">
                <wp:simplePos x="0" y="0"/>
                <wp:positionH relativeFrom="column">
                  <wp:posOffset>224790</wp:posOffset>
                </wp:positionH>
                <wp:positionV relativeFrom="paragraph">
                  <wp:posOffset>66676</wp:posOffset>
                </wp:positionV>
                <wp:extent cx="5452745" cy="4667250"/>
                <wp:effectExtent l="0" t="0" r="1460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ind w:left="48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 xml:space="preserve">I. LOS </w:t>
                            </w:r>
                            <w:r w:rsidRPr="009037B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2"/>
                              </w:rPr>
                              <w:t>DISCURSOS DE LA INCLUSIÓN: LA POSMODERNIDAD Y LA APERTURA HACIA LAS DIFERENCIAS. 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ind w:left="4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1.1. Reflexiones claves de algunos pensadores sobre la diferencia: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Roland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Barthes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, Jacques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Derrida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Gilles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Deleuze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, Michel Foucault, Jean-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Francois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Lyotard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, Jean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Baudillard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Hal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Foster,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Escobar, Peter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Sloterdijk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Clement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Rosset. 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ind w:left="4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1.2. Coordenadas de inclusión del arte latinoamericano contemporáneo: textos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deGerardo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Mosquera (Cuba), Andrea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Giunta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(Argentina),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Escobar (Paraguay), Ivo Mezquita (Brasil), Gabriel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Peluffo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(Uruguay), Marcelo Pacheco (Argentina), Néstor García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Canclini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(Argentina), Nelly Richard (Chile),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Mirko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Lauer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(Perú), Luis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Camnitzer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(Uruguay), entre otros. 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ind w:left="4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1.3. La crítica del arte latinoamericano y la crítica de arte en América Latina: Críticos, relatos, concepciones y conjeturas principales.</w:t>
                            </w:r>
                          </w:p>
                          <w:p w:rsidR="00202DF4" w:rsidRPr="009037B2" w:rsidRDefault="00202DF4" w:rsidP="009037B2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826202" w:rsidRPr="009037B2" w:rsidRDefault="00826202" w:rsidP="003C13EE">
                            <w:pPr>
                              <w:pStyle w:val="NormalWeb"/>
                              <w:spacing w:before="0" w:beforeAutospacing="0" w:after="0" w:afterAutospacing="0"/>
                              <w:ind w:right="-5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II</w:t>
                            </w:r>
                            <w:r w:rsidR="009E79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 xml:space="preserve">. </w:t>
                            </w:r>
                            <w:r w:rsidRPr="009037B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EL MULTICULTURALISMO, LA CRÍTICA POSCOLONIAL Y EL PENSAMIENTO DESCOLONIAL 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ind w:left="4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2.1. El multiculturalismo y su relativización discursiva. 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ind w:left="4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2.2. Los saberes de la crítica poscolonial. Cuestionamientos y nuevos posicionamientos.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ind w:left="4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2.3. Pluralismo y legitimación en la presencia y representación latinoamericana. 2.4. El giro epistémico y la emergencia del naciente pensamiento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descolonial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III. LA DIÁSPORA ARTÍSTICA LATINOAMERICANA 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ind w:left="4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3.1. Rumbos y sentidos de las diásporas artísticas latinoamericanas. 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ind w:left="4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3.2. La renovada circulación estética, intercultural y comercial de lo latinoamericano en el mercado global. El Mundo del Arte.</w:t>
                            </w:r>
                          </w:p>
                          <w:p w:rsidR="00CC7494" w:rsidRPr="009037B2" w:rsidRDefault="00CC7494" w:rsidP="009037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2"/>
                              </w:rPr>
                              <w:t>IV. ALGUNOS EXPONENTES ACTUALES 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2" w:beforeAutospacing="0" w:after="0" w:afterAutospacing="0"/>
                              <w:ind w:left="4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4.1. Aportes y obras representativas de los artistas:  </w:t>
                            </w:r>
                          </w:p>
                          <w:p w:rsidR="00826202" w:rsidRPr="009037B2" w:rsidRDefault="00CC7494" w:rsidP="009037B2">
                            <w:pPr>
                              <w:pStyle w:val="NormalWeb"/>
                              <w:spacing w:before="0" w:beforeAutospacing="0" w:after="0" w:afterAutospacing="0"/>
                              <w:ind w:left="35" w:right="326" w:firstLine="1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Sebastián Díaz Morales, Ernesto Neto, José Antonio Hernández Díez,  Jorge Macchi, Guillermo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Kuitca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, Leandro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Erlich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, Los Carpinteros,  Rafael Lozano-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Hemmer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, Milagros De La Torre, Gabriel Orozco,  Damián Ortega, Pablo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Siquer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, Osvaldo Salerno, Tomás Ochoa,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Vik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Muniz</w:t>
                            </w:r>
                            <w:proofErr w:type="spellEnd"/>
                            <w:r w:rsidRPr="009037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0" w:beforeAutospacing="0" w:after="0" w:afterAutospacing="0" w:line="480" w:lineRule="auto"/>
                              <w:ind w:left="48" w:right="153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:rsidR="00826202" w:rsidRPr="009037B2" w:rsidRDefault="00826202" w:rsidP="009037B2">
                            <w:pPr>
                              <w:pStyle w:val="NormalWeb"/>
                              <w:spacing w:before="258" w:beforeAutospacing="0" w:after="0" w:afterAutospacing="0" w:line="480" w:lineRule="auto"/>
                              <w:ind w:left="48" w:right="15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:rsidR="00826202" w:rsidRPr="009037B2" w:rsidRDefault="00826202" w:rsidP="009037B2">
                            <w:pPr>
                              <w:ind w:right="5"/>
                              <w:jc w:val="both"/>
                              <w:rPr>
                                <w:rFonts w:ascii="Arial" w:hAnsi="Arial" w:cs="Arial"/>
                                <w:color w:val="auto"/>
                                <w:kern w:val="0"/>
                                <w:szCs w:val="22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5.25pt;width:429.35pt;height:3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">
                <v:textbox>
                  <w:txbxContent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ind w:left="48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2"/>
                        </w:rPr>
                        <w:t xml:space="preserve">I. LOS </w:t>
                      </w:r>
                      <w:r w:rsidRPr="009037B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2"/>
                        </w:rPr>
                        <w:t>DISCURSOS DE LA INCLUSIÓN: LA POSMODERNIDAD Y LA APERTURA HACIA LAS DIFERENCIAS. 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ind w:left="48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1.1. Reflexiones claves de algunos pensadores sobre la diferencia: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Roland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Barthes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, Jacques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Derrida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,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Gilles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Deleuze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, Michel Foucault, Jean-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Francois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Lyotard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, Jean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Baudillard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,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Hal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Foster,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Ticio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Escobar, Peter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Sloterdijk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y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Clement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Rosset. 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ind w:left="48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1.2. Coordenadas de inclusión del arte latinoamericano contemporáneo: textos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deGerardo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Mosquera (Cuba), Andrea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Giunta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(Argentina),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Ticio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Escobar (Paraguay), Ivo Mezquita (Brasil), Gabriel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Peluffo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(Uruguay), Marcelo Pacheco (Argentina), Néstor García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Canclini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(Argentina), Nelly Richard (Chile),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Mirko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Lauer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(Perú), Luis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Camnitzer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(Uruguay), entre otros. 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ind w:left="48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1.3. La crítica del arte latinoamericano y la crítica de arte en América Latina: Críticos, relatos, concepciones y conjeturas principales.</w:t>
                      </w:r>
                    </w:p>
                    <w:p w:rsidR="00202DF4" w:rsidRPr="009037B2" w:rsidRDefault="00202DF4" w:rsidP="009037B2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Cs w:val="22"/>
                          <w:lang w:val="es-PY" w:eastAsia="es-PY"/>
                        </w:rPr>
                      </w:pPr>
                    </w:p>
                    <w:p w:rsidR="00826202" w:rsidRPr="009037B2" w:rsidRDefault="00826202" w:rsidP="003C13EE">
                      <w:pPr>
                        <w:pStyle w:val="NormalWeb"/>
                        <w:spacing w:before="0" w:beforeAutospacing="0" w:after="0" w:afterAutospacing="0"/>
                        <w:ind w:right="-58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2"/>
                        </w:rPr>
                        <w:t>II</w:t>
                      </w:r>
                      <w:r w:rsidR="009E79C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2"/>
                        </w:rPr>
                        <w:t xml:space="preserve">. </w:t>
                      </w:r>
                      <w:r w:rsidRPr="009037B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2"/>
                        </w:rPr>
                        <w:t>EL MULTICULTURALISMO, LA CRÍTICA POSCOLONIAL Y EL PENSAMIENTO DESCOLONIAL 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ind w:left="48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2.1. El multiculturalismo y su relativización discursiva. 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ind w:left="48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2.2. Los saberes de la crítica poscolonial. Cuestionamientos y nuevos posicionamientos.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ind w:left="48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2.3. Pluralismo y legitimación en la presencia y representación latinoamericana. 2.4. El giro epistémico y la emergencia del naciente pensamiento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descolonial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.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2"/>
                        </w:rPr>
                      </w:pP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2"/>
                        </w:rPr>
                        <w:t>III. LA DIÁSPORA ARTÍSTICA LATINOAMERICANA 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ind w:left="48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3.1. Rumbos y sentidos de las diásporas artísticas latinoamericanas. 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ind w:left="48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3.2. La renovada circulación estética, intercultural y comercial de lo latinoamericano en el mercado global. El Mundo del Arte.</w:t>
                      </w:r>
                    </w:p>
                    <w:p w:rsidR="00CC7494" w:rsidRPr="009037B2" w:rsidRDefault="00CC7494" w:rsidP="009037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2"/>
                        </w:rPr>
                      </w:pP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2"/>
                        </w:rPr>
                        <w:t>IV. ALGUNOS EXPONENTES ACTUALES 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2" w:beforeAutospacing="0" w:after="0" w:afterAutospacing="0"/>
                        <w:ind w:left="43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4.1. Aportes y obras representativas de los artistas:  </w:t>
                      </w:r>
                    </w:p>
                    <w:p w:rsidR="00826202" w:rsidRPr="009037B2" w:rsidRDefault="00CC7494" w:rsidP="009037B2">
                      <w:pPr>
                        <w:pStyle w:val="NormalWeb"/>
                        <w:spacing w:before="0" w:beforeAutospacing="0" w:after="0" w:afterAutospacing="0"/>
                        <w:ind w:left="35" w:right="326" w:firstLine="11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Sebastián Díaz Morales, Ernesto Neto, José Antonio Hernández Díez,  Jorge Macchi, Guillermo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Kuitca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, Leandro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Erlich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, Los Carpinteros,  Rafael Lozano-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Hemmer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, Milagros De La Torre, Gabriel Orozco,  Damián Ortega, Pablo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Siquer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, Osvaldo Salerno, Tomás Ochoa,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Vik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Muniz</w:t>
                      </w:r>
                      <w:proofErr w:type="spellEnd"/>
                      <w:r w:rsidRPr="009037B2"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  <w:t>.</w:t>
                      </w:r>
                    </w:p>
                    <w:p w:rsidR="00826202" w:rsidRPr="009037B2" w:rsidRDefault="00826202" w:rsidP="009037B2">
                      <w:pPr>
                        <w:pStyle w:val="NormalWeb"/>
                        <w:spacing w:before="0" w:beforeAutospacing="0" w:after="0" w:afterAutospacing="0" w:line="480" w:lineRule="auto"/>
                        <w:ind w:left="48" w:right="153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2"/>
                        </w:rPr>
                      </w:pPr>
                    </w:p>
                    <w:p w:rsidR="00826202" w:rsidRPr="009037B2" w:rsidRDefault="00826202" w:rsidP="009037B2">
                      <w:pPr>
                        <w:pStyle w:val="NormalWeb"/>
                        <w:spacing w:before="258" w:beforeAutospacing="0" w:after="0" w:afterAutospacing="0" w:line="480" w:lineRule="auto"/>
                        <w:ind w:left="48" w:right="153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:rsidR="00826202" w:rsidRPr="009037B2" w:rsidRDefault="00826202" w:rsidP="009037B2">
                      <w:pPr>
                        <w:ind w:right="5"/>
                        <w:jc w:val="both"/>
                        <w:rPr>
                          <w:rFonts w:ascii="Arial" w:hAnsi="Arial" w:cs="Arial"/>
                          <w:color w:val="auto"/>
                          <w:kern w:val="0"/>
                          <w:szCs w:val="22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D29BB" w:rsidRDefault="007D29B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31AD0" w:rsidRDefault="00731A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56EC1" w:rsidRDefault="00156EC1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CC7494" w:rsidRDefault="00CC749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C56334" w:rsidRDefault="00C5633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C56334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D2DD0" wp14:editId="12339028">
                <wp:simplePos x="0" y="0"/>
                <wp:positionH relativeFrom="column">
                  <wp:posOffset>224790</wp:posOffset>
                </wp:positionH>
                <wp:positionV relativeFrom="paragraph">
                  <wp:posOffset>64135</wp:posOffset>
                </wp:positionV>
                <wp:extent cx="5448300" cy="80867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BÁSICA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AAVV (Ed. Rosa OLIVARES),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100 Artistas latinoamericanos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. Madrid: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Exit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, 2006.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3" w:hanging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AAVV (Ed. Kevin POWER),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Pensamiento crítico en el nuevo arte latinoamericano. </w:t>
                            </w:r>
                            <w:r w:rsidR="008C07D6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Lanzarote: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Fundación César Manrique,  2006.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tabs>
                                <w:tab w:val="left" w:pos="7938"/>
                              </w:tabs>
                              <w:spacing w:before="5" w:beforeAutospacing="0" w:after="0" w:afterAutospacing="0"/>
                              <w:ind w:left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AAVV,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Mapas culturales para América Latina: Culturas híbridas, no simultaneidad, modernidad periférica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Bogotá:</w:t>
                            </w:r>
                            <w:r w:rsidR="009578DD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 Universidad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Javeriana, 2001.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7" w:beforeAutospacing="0" w:after="0" w:afterAutospacing="0"/>
                              <w:ind w:left="2" w:firstLine="1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AAVV (Coordinación de Gerardo Mosquera),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Adiós identidad. Arte y cultura desde América Latina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. I y II Foros  Latinoamericanos, Casa de América, Madrid y Museo Extremeño e Iberoamericano de Arte Contemporáneo, 2000. AAVV (Ed. Laura BAIGORRI),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Vídeo en Latinoamérica. Una historia crítica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. Madrid: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Rumaria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, 2008. Damián BAYON,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Artistas contemporáneos de América Latina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Barcelona: Del Serbal, 1991.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5" w:beforeAutospacing="0" w:after="0" w:afterAutospacing="0"/>
                              <w:ind w:left="2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Edward LUCIE-SMITH,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Arte Latinoamericano siglo XX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Barcelona: Ed. Destino, 1994.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2" w:hanging="20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Edward SULLIVAN (texto) y Waldo RASMUSSEN (curador),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Artistas latinoamericanos del siglo XX</w:t>
                            </w:r>
                            <w:r w:rsidR="008C07D6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New York: MOMA,  1992. 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5" w:beforeAutospacing="0" w:after="0" w:afterAutospacing="0"/>
                              <w:ind w:left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Revistas y Catálogos varios de arte latinoamericano contemporáneo.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Acceso a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webs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de Museos y Foros dedicados al arte latinoamericano contemporáneo.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231" w:beforeAutospacing="0" w:after="0" w:afterAutospacing="0"/>
                              <w:ind w:left="10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COMPLEMENTARIA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Theodor ADORNO,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Teoría Estética.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Madrid: Taurus, 1991.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3" w:firstLine="2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Carlos ALTAMIRANO,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Términos críticos de sociología de la cultura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. Buenos Aires: Paidós, 2002. Rudolf ARNHEIM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Arte y Percepción visual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Madrid, España: Alianza Forma, 2005. </w:t>
                            </w:r>
                          </w:p>
                          <w:p w:rsidR="00CC7494" w:rsidRPr="00CC7494" w:rsidRDefault="00CC7494" w:rsidP="003628B4">
                            <w:pPr>
                              <w:pStyle w:val="NormalWeb"/>
                              <w:spacing w:before="5" w:beforeAutospacing="0" w:after="0" w:afterAutospacing="0"/>
                              <w:ind w:left="3"/>
                              <w:jc w:val="both"/>
                              <w:rPr>
                                <w:lang w:val="en-US"/>
                              </w:rPr>
                            </w:pPr>
                            <w:r w:rsidRPr="00CC7494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Paul-Laurent ASSOUN, </w:t>
                            </w:r>
                            <w:proofErr w:type="spellStart"/>
                            <w:r w:rsidRPr="00CC7494"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Lacan</w:t>
                            </w:r>
                            <w:proofErr w:type="spellEnd"/>
                            <w:r w:rsidRPr="00CC7494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C7494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Bs</w:t>
                            </w:r>
                            <w:proofErr w:type="spellEnd"/>
                            <w:r w:rsidRPr="00CC7494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. As.: </w:t>
                            </w:r>
                            <w:proofErr w:type="spellStart"/>
                            <w:r w:rsidRPr="00CC7494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Amarrorfu</w:t>
                            </w:r>
                            <w:proofErr w:type="spellEnd"/>
                            <w:r w:rsidRPr="00CC7494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 2004.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3"/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Roland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BARTHES,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Elementos de la semiología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Madrid: Comunicación, 1971.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2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John BERGER, “Ensayo 1” en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Modos de ver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Barcelona: G. Gili, 2002.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Pierre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BORDIEU,”Consumo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cultural” en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Creencia artística y bienes simbólicos, elementos para una sociología de la cultura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  Buenos Aires: Ed. Aurelia Rivera, 2003.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5" w:beforeAutospacing="0" w:after="0" w:afterAutospacing="0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La distinción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España: Ed. Taurus, 2000.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2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Juan Eduardo CIRLOT,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Diccionario de símbolos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Barcelona: Labor, 1992.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6"/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Guy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DEBORD,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La sociedad del Espectáculo.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Bs. As.: La Flor, 1974. 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0" w:beforeAutospacing="0" w:after="0" w:afterAutospacing="0"/>
                              <w:ind w:left="4" w:firstLine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Guilles DELEUZE y Félix GUATTARI,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Mil mesetas (Capitalismo y esquizofrenia)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. Valencia: Pre-Textos, 2002. Humberto ECO,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De los espejos y otros ensayos.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Barcelona: Lumen, 2000.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7" w:beforeAutospacing="0" w:after="0" w:afterAutospacing="0"/>
                              <w:ind w:left="6"/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Corine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ENAUDEAU,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La paradoja de la representación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Buenos Aires: Paidós, 1999.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4" w:beforeAutospacing="0" w:after="0" w:afterAutospacing="0"/>
                              <w:ind w:firstLine="3"/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Ticio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ESCOBAR,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El mito del arte y el mito del pueblo.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Asunción: RP y CAV-Museo del Barro, 1986. ______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La belleza de los otros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(arte indígena del Paraguay). Asunción: RP y CAV-Museo del Barro, 1993. ______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El arte fuera de sí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. Asunción: CAV/Museo del Barro y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Fondec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, 2004.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11" w:beforeAutospacing="0" w:after="0" w:afterAutospacing="0"/>
                              <w:ind w:left="4"/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Hal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FOSTER,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El retorno a lo real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. Madrid: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Alkal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, 2001.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2" w:beforeAutospacing="0" w:after="0" w:afterAutospacing="0"/>
                              <w:ind w:left="2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Michel FOUCAULT.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La arqueología del saber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Buenos Aires, Siglo XXI, 2008.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4" w:beforeAutospacing="0" w:after="0" w:afterAutospacing="0"/>
                              <w:ind w:hanging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Las palabras y las cosas. Una arqueología de las ciencias humanas.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Buenos Aires, Siglo XXI, 2008.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Clifford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GEERTZ, "El arte como sistema cultural" en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Conocimiento local. Ensayos sobre la interpretación de las culturas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  Buenos Aires: Paidós, 1994.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11" w:beforeAutospacing="0" w:after="0" w:afterAutospacing="0"/>
                              <w:ind w:left="2" w:hanging="1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E. H. GOMBRICH,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Los usos de las imágenes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Estudios sobre la función social del arte y la comunicación visual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Madrid:</w:t>
                            </w:r>
                            <w:r w:rsidR="0021501D"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 Debate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, 2003.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13" w:beforeAutospacing="0" w:after="0" w:afterAutospacing="0"/>
                              <w:ind w:hanging="2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Meditaciones sobre un caballo de juguete y otros ensayos sobre la teoría del arte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. Madrid: Debate, 2002. Nelson GOODMAN,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Maneras de hacer mundos.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Madrid: Visor, 1990.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11" w:beforeAutospacing="0" w:after="0" w:afterAutospacing="0"/>
                              <w:ind w:left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David LOY,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La no dualidad.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Barcelona: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Kairós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, 2000.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2" w:beforeAutospacing="0" w:after="0" w:afterAutospacing="0"/>
                              <w:ind w:left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Bryan MAGEE,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Los grandes filósofos.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Madrid: Cátedra, 1990.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2" w:beforeAutospacing="0" w:after="0" w:afterAutospacing="0"/>
                              <w:ind w:left="2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Erwin PANOFSKY,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El significado en las artes visuales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. Madrid: Alianza Forma, 2004.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4" w:beforeAutospacing="0" w:after="0" w:afterAutospacing="0"/>
                              <w:ind w:left="2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Mario PERNIOLA,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El arte y su sombra.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Madrid: Cátedra, 2002.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2" w:beforeAutospacing="0" w:after="0" w:afterAutospacing="0"/>
                              <w:ind w:left="6"/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Clement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 ROSSET,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Lo real. Tratado de la idiotez.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Madrid: Pretextos, 2004.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2" w:beforeAutospacing="0" w:after="0" w:afterAutospacing="0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Lo real y su doble.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Barcelona: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Tusquets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, 1993.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2" w:beforeAutospacing="0" w:after="0" w:afterAutospacing="0"/>
                              <w:ind w:left="3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Peter SLOTERDIJK,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Extrañamiento del mundo.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Valencia: Pretextos, 1998. </w:t>
                            </w:r>
                          </w:p>
                          <w:p w:rsidR="00CC7494" w:rsidRDefault="00CC7494" w:rsidP="003628B4">
                            <w:pPr>
                              <w:pStyle w:val="NormalWeb"/>
                              <w:spacing w:before="32" w:beforeAutospacing="0" w:after="0" w:afterAutospacing="0"/>
                              <w:jc w:val="both"/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Times" w:hAnsi="Times" w:cs="Times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Esferas I. 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 xml:space="preserve">Madrid: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Siruela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  <w:sz w:val="20"/>
                                <w:szCs w:val="20"/>
                              </w:rPr>
                              <w:t>, 2003.</w:t>
                            </w:r>
                          </w:p>
                          <w:p w:rsidR="00447A8E" w:rsidRDefault="00447A8E" w:rsidP="003628B4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3628B4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3628B4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3628B4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3628B4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3628B4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3628B4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Default="00447A8E" w:rsidP="003628B4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  <w:p w:rsidR="00447A8E" w:rsidRPr="00B07F59" w:rsidRDefault="00447A8E" w:rsidP="003628B4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7.7pt;margin-top:5.05pt;width:429pt;height:6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">
                <v:textbox>
                  <w:txbxContent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3"/>
                        <w:jc w:val="both"/>
                      </w:pPr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>BÁSICA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AAVV (Ed. Rosa OLIVARES),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100 Artistas latinoamericanos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. Madrid: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Exit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, 2006.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3" w:hanging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AAVV (Ed. Kevin POWER),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Pensamiento crítico en el nuevo arte latinoamericano. </w:t>
                      </w:r>
                      <w:r w:rsidR="008C07D6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Lanzarote: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Fundación César Manrique,  2006. </w:t>
                      </w:r>
                    </w:p>
                    <w:p w:rsidR="00CC7494" w:rsidRDefault="00CC7494" w:rsidP="003628B4">
                      <w:pPr>
                        <w:pStyle w:val="NormalWeb"/>
                        <w:tabs>
                          <w:tab w:val="left" w:pos="7938"/>
                        </w:tabs>
                        <w:spacing w:before="5" w:beforeAutospacing="0" w:after="0" w:afterAutospacing="0"/>
                        <w:ind w:left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AAVV,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Mapas culturales para América Latina: Culturas híbridas, no simultaneidad, modernidad periférica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Bogotá:</w:t>
                      </w:r>
                      <w:r w:rsidR="009578DD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 Universidad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Javeriana, 2001.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7" w:beforeAutospacing="0" w:after="0" w:afterAutospacing="0"/>
                        <w:ind w:left="2" w:firstLine="1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AAVV (Coordinación de Gerardo Mosquera),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Adiós identidad. Arte y cultura desde América Latina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. I y II Foros  Latinoamericanos, Casa de América, Madrid y Museo Extremeño e Iberoamericano de Arte Contemporáneo, 2000. AAVV (Ed. Laura BAIGORRI),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Vídeo en Latinoamérica. Una historia crítica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. Madrid: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Rumaria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, 2008. Damián BAYON,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Artistas contemporáneos de América Latina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Barcelona: Del Serbal, 1991.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5" w:beforeAutospacing="0" w:after="0" w:afterAutospacing="0"/>
                        <w:ind w:left="2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Edward LUCIE-SMITH,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Arte Latinoamericano siglo XX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Barcelona: Ed. Destino, 1994.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2" w:hanging="20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Edward SULLIVAN (texto) y Waldo RASMUSSEN (curador),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Artistas latinoamericanos del siglo XX</w:t>
                      </w:r>
                      <w:r w:rsidR="008C07D6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New York: MOMA,  1992. 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5" w:beforeAutospacing="0" w:after="0" w:afterAutospacing="0"/>
                        <w:ind w:left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Revistas y Catálogos varios de arte latinoamericano contemporáneo.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Acceso a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webs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de Museos y Foros dedicados al arte latinoamericano contemporáneo.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231" w:beforeAutospacing="0" w:after="0" w:afterAutospacing="0"/>
                        <w:ind w:left="10"/>
                        <w:jc w:val="both"/>
                      </w:pPr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COMPLEMENTARIA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Theodor ADORNO,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Teoría Estética.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Madrid: Taurus, 1991.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3" w:firstLine="2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Carlos ALTAMIRANO,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Términos críticos de sociología de la cultura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. Buenos Aires: Paidós, 2002. Rudolf ARNHEIM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Arte y Percepción visual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Madrid, España: Alianza Forma, 2005. </w:t>
                      </w:r>
                    </w:p>
                    <w:p w:rsidR="00CC7494" w:rsidRPr="00CC7494" w:rsidRDefault="00CC7494" w:rsidP="003628B4">
                      <w:pPr>
                        <w:pStyle w:val="NormalWeb"/>
                        <w:spacing w:before="5" w:beforeAutospacing="0" w:after="0" w:afterAutospacing="0"/>
                        <w:ind w:left="3"/>
                        <w:jc w:val="both"/>
                        <w:rPr>
                          <w:lang w:val="en-US"/>
                        </w:rPr>
                      </w:pPr>
                      <w:r w:rsidRPr="00CC7494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Paul-Laurent ASSOUN, </w:t>
                      </w:r>
                      <w:proofErr w:type="spellStart"/>
                      <w:r w:rsidRPr="00CC7494"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Lacan</w:t>
                      </w:r>
                      <w:proofErr w:type="spellEnd"/>
                      <w:r w:rsidRPr="00CC7494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C7494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  <w:lang w:val="en-US"/>
                        </w:rPr>
                        <w:t>Bs</w:t>
                      </w:r>
                      <w:proofErr w:type="spellEnd"/>
                      <w:r w:rsidRPr="00CC7494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. As.: </w:t>
                      </w:r>
                      <w:proofErr w:type="spellStart"/>
                      <w:r w:rsidRPr="00CC7494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  <w:lang w:val="en-US"/>
                        </w:rPr>
                        <w:t>Amarrorfu</w:t>
                      </w:r>
                      <w:proofErr w:type="spellEnd"/>
                      <w:r w:rsidRPr="00CC7494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  <w:lang w:val="en-US"/>
                        </w:rPr>
                        <w:t>, 2004.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3"/>
                        <w:jc w:val="both"/>
                      </w:pP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Roland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BARTHES,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Elementos de la semiología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Madrid: Comunicación, 1971.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2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John BERGER, “Ensayo 1” en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Modos de ver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Barcelona: G. Gili, 2002.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Pierre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BORDIEU,”Consumo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cultural” en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Creencia artística y bienes simbólicos, elementos para una sociología de la cultura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  Buenos Aires: Ed. Aurelia Rivera, 2003.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5" w:beforeAutospacing="0" w:after="0" w:afterAutospacing="0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La distinción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España: Ed. Taurus, 2000.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2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Juan Eduardo CIRLOT,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Diccionario de símbolos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Barcelona: Labor, 1992.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6"/>
                        <w:jc w:val="both"/>
                      </w:pP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Guy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DEBORD,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La sociedad del Espectáculo.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Bs. As.: La Flor, 1974. 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0" w:beforeAutospacing="0" w:after="0" w:afterAutospacing="0"/>
                        <w:ind w:left="4" w:firstLine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Guilles DELEUZE y Félix GUATTARI,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Mil mesetas (Capitalismo y esquizofrenia)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. Valencia: Pre-Textos, 2002. Humberto ECO,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De los espejos y otros ensayos.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Barcelona: Lumen, 2000.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7" w:beforeAutospacing="0" w:after="0" w:afterAutospacing="0"/>
                        <w:ind w:left="6"/>
                        <w:jc w:val="both"/>
                      </w:pP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Corine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ENAUDEAU,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La paradoja de la representación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Buenos Aires: Paidós, 1999.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4" w:beforeAutospacing="0" w:after="0" w:afterAutospacing="0"/>
                        <w:ind w:firstLine="3"/>
                        <w:jc w:val="both"/>
                      </w:pP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Ticio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ESCOBAR,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El mito del arte y el mito del pueblo.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Asunción: RP y CAV-Museo del Barro, 1986. ______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La belleza de los otros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(arte indígena del Paraguay). Asunción: RP y CAV-Museo del Barro, 1993. ______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El arte fuera de sí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. Asunción: CAV/Museo del Barro y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Fondec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, 2004.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11" w:beforeAutospacing="0" w:after="0" w:afterAutospacing="0"/>
                        <w:ind w:left="4"/>
                        <w:jc w:val="both"/>
                      </w:pP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Hal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FOSTER,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El retorno a lo real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. Madrid: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Alkal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, 2001.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2" w:beforeAutospacing="0" w:after="0" w:afterAutospacing="0"/>
                        <w:ind w:left="2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Michel FOUCAULT.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La arqueología del saber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Buenos Aires, Siglo XXI, 2008.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4" w:beforeAutospacing="0" w:after="0" w:afterAutospacing="0"/>
                        <w:ind w:hanging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Las palabras y las cosas. Una arqueología de las ciencias humanas.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Buenos Aires, Siglo XXI, 2008.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Clifford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GEERTZ, "El arte como sistema cultural" en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Conocimiento local. Ensayos sobre la interpretación de las culturas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  Buenos Aires: Paidós, 1994.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11" w:beforeAutospacing="0" w:after="0" w:afterAutospacing="0"/>
                        <w:ind w:left="2" w:hanging="1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E. H. GOMBRICH,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Los usos de las imágenes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Estudios sobre la función social del arte y la comunicación visual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Madrid:</w:t>
                      </w:r>
                      <w:r w:rsidR="0021501D"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 Debate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, 2003.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13" w:beforeAutospacing="0" w:after="0" w:afterAutospacing="0"/>
                        <w:ind w:hanging="2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Meditaciones sobre un caballo de juguete y otros ensayos sobre la teoría del arte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. Madrid: Debate, 2002. Nelson GOODMAN,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Maneras de hacer mundos.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Madrid: Visor, 1990.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11" w:beforeAutospacing="0" w:after="0" w:afterAutospacing="0"/>
                        <w:ind w:left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David LOY,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La no dualidad.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Barcelona: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Kairós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, 2000.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2" w:beforeAutospacing="0" w:after="0" w:afterAutospacing="0"/>
                        <w:ind w:left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Bryan MAGEE,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Los grandes filósofos.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Madrid: Cátedra, 1990.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2" w:beforeAutospacing="0" w:after="0" w:afterAutospacing="0"/>
                        <w:ind w:left="2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Erwin PANOFSKY,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>El significado en las artes visuales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. Madrid: Alianza Forma, 2004.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4" w:beforeAutospacing="0" w:after="0" w:afterAutospacing="0"/>
                        <w:ind w:left="2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Mario PERNIOLA,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El arte y su sombra.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Madrid: Cátedra, 2002.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2" w:beforeAutospacing="0" w:after="0" w:afterAutospacing="0"/>
                        <w:ind w:left="6"/>
                        <w:jc w:val="both"/>
                      </w:pP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Clement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 ROSSET,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Lo real. Tratado de la idiotez.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Madrid: Pretextos, 2004.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2" w:beforeAutospacing="0" w:after="0" w:afterAutospacing="0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Lo real y su doble.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Barcelona: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Tusquets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, 1993.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2" w:beforeAutospacing="0" w:after="0" w:afterAutospacing="0"/>
                        <w:ind w:left="3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Peter SLOTERDIJK,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Extrañamiento del mundo.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Valencia: Pretextos, 1998. </w:t>
                      </w:r>
                    </w:p>
                    <w:p w:rsidR="00CC7494" w:rsidRDefault="00CC7494" w:rsidP="003628B4">
                      <w:pPr>
                        <w:pStyle w:val="NormalWeb"/>
                        <w:spacing w:before="32" w:beforeAutospacing="0" w:after="0" w:afterAutospacing="0"/>
                        <w:jc w:val="both"/>
                      </w:pP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Times" w:hAnsi="Times" w:cs="Times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Esferas I. </w:t>
                      </w:r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 xml:space="preserve">Madrid: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Siruela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  <w:sz w:val="20"/>
                          <w:szCs w:val="20"/>
                        </w:rPr>
                        <w:t>, 2003.</w:t>
                      </w:r>
                    </w:p>
                    <w:p w:rsidR="00447A8E" w:rsidRDefault="00447A8E" w:rsidP="003628B4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3628B4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3628B4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3628B4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3628B4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3628B4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3628B4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Default="00447A8E" w:rsidP="003628B4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  <w:p w:rsidR="00447A8E" w:rsidRPr="00B07F59" w:rsidRDefault="00447A8E" w:rsidP="003628B4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kern w:val="0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9037B2">
      <w:headerReference w:type="default" r:id="rId8"/>
      <w:pgSz w:w="11906" w:h="16838"/>
      <w:pgMar w:top="1110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D5" w:rsidRDefault="00AF59D5" w:rsidP="00B33EF5">
      <w:r>
        <w:separator/>
      </w:r>
    </w:p>
  </w:endnote>
  <w:endnote w:type="continuationSeparator" w:id="0">
    <w:p w:rsidR="00AF59D5" w:rsidRDefault="00AF59D5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D5" w:rsidRDefault="00AF59D5" w:rsidP="00B33EF5">
      <w:r>
        <w:separator/>
      </w:r>
    </w:p>
  </w:footnote>
  <w:footnote w:type="continuationSeparator" w:id="0">
    <w:p w:rsidR="00AF59D5" w:rsidRDefault="00AF59D5" w:rsidP="00B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8E" w:rsidRDefault="00447A8E">
    <w:pPr>
      <w:pStyle w:val="Encabezado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4D1C1CF3" wp14:editId="4A8F701E">
          <wp:extent cx="5681345" cy="447675"/>
          <wp:effectExtent l="0" t="0" r="0" b="9525"/>
          <wp:docPr id="1" name="Imagen 1" descr="ENCABEZADO PROGRAMA ARQ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NCABEZADO PROGRAMA ARQU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889" cy="45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6C7"/>
    <w:multiLevelType w:val="multilevel"/>
    <w:tmpl w:val="238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644"/>
    <w:multiLevelType w:val="hybridMultilevel"/>
    <w:tmpl w:val="6A1C2468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016EC"/>
    <w:multiLevelType w:val="multilevel"/>
    <w:tmpl w:val="384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44B99"/>
    <w:multiLevelType w:val="hybridMultilevel"/>
    <w:tmpl w:val="E43685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15535"/>
    <w:multiLevelType w:val="multilevel"/>
    <w:tmpl w:val="582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A594B"/>
    <w:multiLevelType w:val="hybridMultilevel"/>
    <w:tmpl w:val="BD6A030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8424E"/>
    <w:multiLevelType w:val="multilevel"/>
    <w:tmpl w:val="B88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252E3"/>
    <w:multiLevelType w:val="multilevel"/>
    <w:tmpl w:val="10E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2A360C"/>
    <w:multiLevelType w:val="hybridMultilevel"/>
    <w:tmpl w:val="2FC4D13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980C0F"/>
    <w:multiLevelType w:val="hybridMultilevel"/>
    <w:tmpl w:val="B3E012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B44C1"/>
    <w:multiLevelType w:val="hybridMultilevel"/>
    <w:tmpl w:val="DF346D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62CA"/>
    <w:multiLevelType w:val="hybridMultilevel"/>
    <w:tmpl w:val="12F8285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86955E8"/>
    <w:multiLevelType w:val="multilevel"/>
    <w:tmpl w:val="E2B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07329"/>
    <w:multiLevelType w:val="multilevel"/>
    <w:tmpl w:val="9EE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77B00"/>
    <w:multiLevelType w:val="multilevel"/>
    <w:tmpl w:val="21F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C8273D"/>
    <w:multiLevelType w:val="multilevel"/>
    <w:tmpl w:val="2296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C32E17"/>
    <w:multiLevelType w:val="hybridMultilevel"/>
    <w:tmpl w:val="7D30321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137A3"/>
    <w:multiLevelType w:val="multilevel"/>
    <w:tmpl w:val="744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8D6388"/>
    <w:multiLevelType w:val="multilevel"/>
    <w:tmpl w:val="66E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CB5483"/>
    <w:multiLevelType w:val="multilevel"/>
    <w:tmpl w:val="FB5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1C2AA8"/>
    <w:multiLevelType w:val="hybridMultilevel"/>
    <w:tmpl w:val="51DCB86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9686B"/>
    <w:multiLevelType w:val="multilevel"/>
    <w:tmpl w:val="32A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D838FB"/>
    <w:multiLevelType w:val="hybridMultilevel"/>
    <w:tmpl w:val="83A4BAE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F23B0C"/>
    <w:multiLevelType w:val="multilevel"/>
    <w:tmpl w:val="D69C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472710"/>
    <w:multiLevelType w:val="hybridMultilevel"/>
    <w:tmpl w:val="9EC0AF00"/>
    <w:lvl w:ilvl="0" w:tplc="3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B021F9"/>
    <w:multiLevelType w:val="hybridMultilevel"/>
    <w:tmpl w:val="24F4266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31"/>
  </w:num>
  <w:num w:numId="3">
    <w:abstractNumId w:val="2"/>
  </w:num>
  <w:num w:numId="4">
    <w:abstractNumId w:val="43"/>
  </w:num>
  <w:num w:numId="5">
    <w:abstractNumId w:val="26"/>
  </w:num>
  <w:num w:numId="6">
    <w:abstractNumId w:val="15"/>
  </w:num>
  <w:num w:numId="7">
    <w:abstractNumId w:val="41"/>
  </w:num>
  <w:num w:numId="8">
    <w:abstractNumId w:val="17"/>
  </w:num>
  <w:num w:numId="9">
    <w:abstractNumId w:val="7"/>
  </w:num>
  <w:num w:numId="10">
    <w:abstractNumId w:val="3"/>
  </w:num>
  <w:num w:numId="11">
    <w:abstractNumId w:val="44"/>
  </w:num>
  <w:num w:numId="12">
    <w:abstractNumId w:val="25"/>
  </w:num>
  <w:num w:numId="13">
    <w:abstractNumId w:val="35"/>
  </w:num>
  <w:num w:numId="14">
    <w:abstractNumId w:val="40"/>
  </w:num>
  <w:num w:numId="15">
    <w:abstractNumId w:val="29"/>
  </w:num>
  <w:num w:numId="16">
    <w:abstractNumId w:val="45"/>
  </w:num>
  <w:num w:numId="17">
    <w:abstractNumId w:val="36"/>
  </w:num>
  <w:num w:numId="18">
    <w:abstractNumId w:val="14"/>
  </w:num>
  <w:num w:numId="19">
    <w:abstractNumId w:val="12"/>
  </w:num>
  <w:num w:numId="20">
    <w:abstractNumId w:val="39"/>
  </w:num>
  <w:num w:numId="21">
    <w:abstractNumId w:val="24"/>
  </w:num>
  <w:num w:numId="22">
    <w:abstractNumId w:val="13"/>
  </w:num>
  <w:num w:numId="23">
    <w:abstractNumId w:val="19"/>
  </w:num>
  <w:num w:numId="24">
    <w:abstractNumId w:val="18"/>
  </w:num>
  <w:num w:numId="25">
    <w:abstractNumId w:val="37"/>
  </w:num>
  <w:num w:numId="26">
    <w:abstractNumId w:val="30"/>
  </w:num>
  <w:num w:numId="27">
    <w:abstractNumId w:val="27"/>
  </w:num>
  <w:num w:numId="28">
    <w:abstractNumId w:val="22"/>
  </w:num>
  <w:num w:numId="29">
    <w:abstractNumId w:val="5"/>
  </w:num>
  <w:num w:numId="30">
    <w:abstractNumId w:val="10"/>
  </w:num>
  <w:num w:numId="31">
    <w:abstractNumId w:val="1"/>
  </w:num>
  <w:num w:numId="32">
    <w:abstractNumId w:val="42"/>
  </w:num>
  <w:num w:numId="33">
    <w:abstractNumId w:val="23"/>
  </w:num>
  <w:num w:numId="34">
    <w:abstractNumId w:val="20"/>
  </w:num>
  <w:num w:numId="35">
    <w:abstractNumId w:val="4"/>
  </w:num>
  <w:num w:numId="36">
    <w:abstractNumId w:val="28"/>
  </w:num>
  <w:num w:numId="37">
    <w:abstractNumId w:val="33"/>
  </w:num>
  <w:num w:numId="38">
    <w:abstractNumId w:val="9"/>
  </w:num>
  <w:num w:numId="39">
    <w:abstractNumId w:val="0"/>
  </w:num>
  <w:num w:numId="40">
    <w:abstractNumId w:val="6"/>
  </w:num>
  <w:num w:numId="41">
    <w:abstractNumId w:val="21"/>
  </w:num>
  <w:num w:numId="42">
    <w:abstractNumId w:val="32"/>
  </w:num>
  <w:num w:numId="43">
    <w:abstractNumId w:val="34"/>
  </w:num>
  <w:num w:numId="44">
    <w:abstractNumId w:val="8"/>
  </w:num>
  <w:num w:numId="45">
    <w:abstractNumId w:val="11"/>
  </w:num>
  <w:num w:numId="46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60838"/>
    <w:rsid w:val="0008287E"/>
    <w:rsid w:val="000C5021"/>
    <w:rsid w:val="000C6A8B"/>
    <w:rsid w:val="00102D35"/>
    <w:rsid w:val="00126F5F"/>
    <w:rsid w:val="00156EC1"/>
    <w:rsid w:val="001C3886"/>
    <w:rsid w:val="001F2326"/>
    <w:rsid w:val="00202DF4"/>
    <w:rsid w:val="0021501D"/>
    <w:rsid w:val="002323EB"/>
    <w:rsid w:val="002A3367"/>
    <w:rsid w:val="002D0AC3"/>
    <w:rsid w:val="002D3B74"/>
    <w:rsid w:val="002E27D0"/>
    <w:rsid w:val="002F5DA4"/>
    <w:rsid w:val="00323578"/>
    <w:rsid w:val="00337C0C"/>
    <w:rsid w:val="00356579"/>
    <w:rsid w:val="003628B4"/>
    <w:rsid w:val="00395EE1"/>
    <w:rsid w:val="003C13EE"/>
    <w:rsid w:val="00443A39"/>
    <w:rsid w:val="00447A8E"/>
    <w:rsid w:val="004668CB"/>
    <w:rsid w:val="004B00A9"/>
    <w:rsid w:val="004C0AC4"/>
    <w:rsid w:val="004C7A92"/>
    <w:rsid w:val="004E4DFD"/>
    <w:rsid w:val="005331AF"/>
    <w:rsid w:val="00594214"/>
    <w:rsid w:val="005C7D40"/>
    <w:rsid w:val="00636DCD"/>
    <w:rsid w:val="00636FC1"/>
    <w:rsid w:val="0066200C"/>
    <w:rsid w:val="00684319"/>
    <w:rsid w:val="006B5E3B"/>
    <w:rsid w:val="006F2C66"/>
    <w:rsid w:val="007044ED"/>
    <w:rsid w:val="00731AD0"/>
    <w:rsid w:val="00746E9F"/>
    <w:rsid w:val="00752238"/>
    <w:rsid w:val="00790690"/>
    <w:rsid w:val="00792EAA"/>
    <w:rsid w:val="00797466"/>
    <w:rsid w:val="007D23FF"/>
    <w:rsid w:val="007D29BB"/>
    <w:rsid w:val="00800AB7"/>
    <w:rsid w:val="00816C24"/>
    <w:rsid w:val="00826202"/>
    <w:rsid w:val="0082660A"/>
    <w:rsid w:val="00875333"/>
    <w:rsid w:val="008C07D6"/>
    <w:rsid w:val="008D5585"/>
    <w:rsid w:val="008D6330"/>
    <w:rsid w:val="008F3D12"/>
    <w:rsid w:val="009037B2"/>
    <w:rsid w:val="00921DD9"/>
    <w:rsid w:val="00933756"/>
    <w:rsid w:val="009578DD"/>
    <w:rsid w:val="009A07B6"/>
    <w:rsid w:val="009B2C74"/>
    <w:rsid w:val="009C5C39"/>
    <w:rsid w:val="009E79CF"/>
    <w:rsid w:val="00A82EE9"/>
    <w:rsid w:val="00AC4D23"/>
    <w:rsid w:val="00AD6323"/>
    <w:rsid w:val="00AF59D5"/>
    <w:rsid w:val="00B07F59"/>
    <w:rsid w:val="00B14376"/>
    <w:rsid w:val="00B33EF5"/>
    <w:rsid w:val="00B74176"/>
    <w:rsid w:val="00B875FA"/>
    <w:rsid w:val="00BA3282"/>
    <w:rsid w:val="00BE6951"/>
    <w:rsid w:val="00C20A5D"/>
    <w:rsid w:val="00C35845"/>
    <w:rsid w:val="00C56334"/>
    <w:rsid w:val="00C936B6"/>
    <w:rsid w:val="00CA473B"/>
    <w:rsid w:val="00CC7494"/>
    <w:rsid w:val="00D047EA"/>
    <w:rsid w:val="00D154B6"/>
    <w:rsid w:val="00D6355F"/>
    <w:rsid w:val="00D93C9C"/>
    <w:rsid w:val="00DF66BB"/>
    <w:rsid w:val="00E53A81"/>
    <w:rsid w:val="00E55CC3"/>
    <w:rsid w:val="00ED2942"/>
    <w:rsid w:val="00F473BF"/>
    <w:rsid w:val="00F51070"/>
    <w:rsid w:val="00F64A1A"/>
    <w:rsid w:val="00F91652"/>
    <w:rsid w:val="00F92D7C"/>
    <w:rsid w:val="00F967D6"/>
    <w:rsid w:val="00FA5FBC"/>
    <w:rsid w:val="00FA69ED"/>
    <w:rsid w:val="00FC0582"/>
    <w:rsid w:val="00FD43FE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9</cp:revision>
  <dcterms:created xsi:type="dcterms:W3CDTF">2022-09-12T22:29:00Z</dcterms:created>
  <dcterms:modified xsi:type="dcterms:W3CDTF">2022-09-19T20:27:00Z</dcterms:modified>
</cp:coreProperties>
</file>